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Сводный отчет о проведении оценки регулирующего воздействия 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Наименование проекта</w:t>
      </w:r>
      <w:r>
        <w:rPr>
          <w:rFonts w:ascii="Times New Roman" w:hAnsi="Times New Roman"/>
          <w:sz w:val="28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sz w:val="28"/>
        </w:rPr>
        <w:t xml:space="preserve"> (далее – проект акта):</w:t>
      </w:r>
    </w:p>
    <w:p w14:paraId="0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«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Об утверждении административного 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регламента предоставления </w:t>
      </w:r>
      <w:r>
        <w:rPr>
          <w:rFonts w:ascii="Times New Roman" w:hAnsi="Times New Roman"/>
          <w:b w:val="0"/>
          <w:color w:val="000000"/>
          <w:sz w:val="28"/>
          <w:u w:val="single"/>
        </w:rPr>
        <w:t xml:space="preserve">муниципальной услуги </w:t>
      </w:r>
      <w:r>
        <w:rPr>
          <w:rFonts w:ascii="Times New Roman" w:hAnsi="Times New Roman"/>
          <w:b w:val="0"/>
          <w:color w:val="000000"/>
          <w:sz w:val="28"/>
          <w:u w:val="single"/>
        </w:rPr>
        <w:t>«</w:t>
      </w:r>
      <w:r>
        <w:rPr>
          <w:rFonts w:ascii="Times New Roman" w:hAnsi="Times New Roman"/>
          <w:b w:val="0"/>
          <w:sz w:val="28"/>
          <w:u w:val="single"/>
        </w:rPr>
        <w:t>Согласование проведения ярмарки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Адрес размещения уведо</w:t>
      </w:r>
      <w:r>
        <w:rPr>
          <w:rFonts w:ascii="Times New Roman" w:hAnsi="Times New Roman"/>
          <w:sz w:val="28"/>
        </w:rPr>
        <w:t>мления о публичных обсуждениях</w:t>
      </w:r>
      <w:r>
        <w:rPr>
          <w:rFonts w:ascii="Times New Roman" w:hAnsi="Times New Roman"/>
          <w:sz w:val="28"/>
        </w:rPr>
        <w:t xml:space="preserve"> по проекту акта в информационно-телекоммуникационной сети «Интернет»  (полный</w:t>
      </w:r>
      <w:r>
        <w:rPr>
          <w:rFonts w:ascii="Times New Roman" w:hAnsi="Times New Roman"/>
          <w:sz w:val="28"/>
        </w:rPr>
        <w:t xml:space="preserve"> электронный адрес):</w:t>
      </w:r>
    </w:p>
    <w:p w14:paraId="06000000">
      <w:pPr>
        <w:pStyle w:val="Style_1"/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Разработчик проекта акта:</w:t>
      </w:r>
    </w:p>
    <w:p w14:paraId="08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Наименование:  </w:t>
      </w:r>
      <w:r>
        <w:rPr>
          <w:rFonts w:ascii="Times New Roman" w:hAnsi="Times New Roman"/>
          <w:sz w:val="28"/>
          <w:u w:val="single"/>
        </w:rPr>
        <w:t>о</w:t>
      </w:r>
      <w:r>
        <w:rPr>
          <w:rFonts w:ascii="Times New Roman" w:hAnsi="Times New Roman"/>
          <w:sz w:val="28"/>
          <w:u w:val="single"/>
        </w:rPr>
        <w:t>тдел торговли, бытового обслуживания, продовольственного обеспечения</w:t>
      </w:r>
      <w:r>
        <w:rPr>
          <w:rFonts w:ascii="Times New Roman" w:hAnsi="Times New Roman"/>
          <w:sz w:val="28"/>
          <w:u w:val="single"/>
        </w:rPr>
        <w:t xml:space="preserve"> администрации Прокопьевского муниципального округа</w:t>
      </w:r>
      <w:r>
        <w:rPr>
          <w:rFonts w:ascii="Times New Roman" w:hAnsi="Times New Roman"/>
          <w:sz w:val="28"/>
        </w:rPr>
        <w:t>:</w:t>
      </w:r>
    </w:p>
    <w:p w14:paraId="09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Почтовый адрес: </w:t>
      </w:r>
      <w:r>
        <w:rPr>
          <w:rFonts w:ascii="Times New Roman" w:hAnsi="Times New Roman"/>
          <w:sz w:val="28"/>
          <w:u w:val="single"/>
        </w:rPr>
        <w:t>653033, г. Прокопь</w:t>
      </w:r>
      <w:r>
        <w:rPr>
          <w:rFonts w:ascii="Times New Roman" w:hAnsi="Times New Roman"/>
          <w:sz w:val="28"/>
          <w:u w:val="single"/>
        </w:rPr>
        <w:t>евск, пр. Гагарина, 1в, каб. 210</w:t>
      </w:r>
    </w:p>
    <w:p w14:paraId="0A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Режим работы: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пн-чт. с 8.00 до 17.00, пт. – с 8.00 до 16.00, обед с 12.00-13.00</w:t>
      </w:r>
    </w:p>
    <w:p w14:paraId="0B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Контакты ответственного лица:</w:t>
      </w:r>
    </w:p>
    <w:p w14:paraId="0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Ф.И.О.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Киселева Людмила Васильевна</w:t>
      </w:r>
    </w:p>
    <w:p w14:paraId="0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Должность: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 xml:space="preserve">Начальник отдела </w:t>
      </w:r>
      <w:r>
        <w:rPr>
          <w:rFonts w:ascii="Times New Roman" w:hAnsi="Times New Roman"/>
          <w:sz w:val="28"/>
          <w:u w:val="single"/>
        </w:rPr>
        <w:t>торговли, бытового обслуживания, продовольственного обеспечения</w:t>
      </w:r>
    </w:p>
    <w:p w14:paraId="0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Телефон: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8 (3846) 69-50</w:t>
      </w:r>
      <w:r>
        <w:rPr>
          <w:rFonts w:ascii="Times New Roman" w:hAnsi="Times New Roman"/>
          <w:sz w:val="28"/>
          <w:u w:val="single"/>
        </w:rPr>
        <w:t>-61</w:t>
      </w:r>
    </w:p>
    <w:p w14:paraId="0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highlight w:val="white"/>
          <w:u w:val="single"/>
        </w:rPr>
      </w:pPr>
      <w:r>
        <w:rPr>
          <w:rFonts w:ascii="Times New Roman" w:hAnsi="Times New Roman"/>
          <w:sz w:val="28"/>
        </w:rPr>
        <w:t>Адрес электронной почты: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kiseleva-adm-pr@yandex.ru</w:t>
      </w:r>
    </w:p>
    <w:p w14:paraId="10000000">
      <w:pPr>
        <w:spacing w:after="0" w:line="240" w:lineRule="auto"/>
        <w:ind w:firstLine="567" w:left="-567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  <w:sz w:val="28"/>
        </w:rPr>
        <w:t>Степень регулирующего воздействия положений, содержащихся в подготовленном проекте нормативного правового акта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>средняя</w:t>
      </w:r>
    </w:p>
    <w:p w14:paraId="11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/>
          <w:sz w:val="28"/>
        </w:rPr>
        <w:t>способ регулирования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b w:val="0"/>
          <w:sz w:val="28"/>
          <w:u w:val="single"/>
        </w:rPr>
        <w:t>огласование проведения ярмарки</w:t>
      </w:r>
      <w:r>
        <w:rPr>
          <w:rFonts w:ascii="Times New Roman" w:hAnsi="Times New Roman"/>
          <w:sz w:val="28"/>
          <w:u w:val="single"/>
        </w:rPr>
        <w:t>.</w:t>
      </w:r>
    </w:p>
    <w:p w14:paraId="12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 </w:t>
      </w:r>
      <w:r>
        <w:rPr>
          <w:rFonts w:ascii="Times New Roman" w:hAnsi="Times New Roman"/>
          <w:sz w:val="28"/>
        </w:rPr>
        <w:t xml:space="preserve">Цели предлагаемого </w:t>
      </w:r>
      <w:r>
        <w:rPr>
          <w:rFonts w:ascii="Times New Roman" w:hAnsi="Times New Roman"/>
          <w:sz w:val="28"/>
        </w:rPr>
        <w:t>регулирования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>муниципальной услуги «с</w:t>
      </w:r>
      <w:r>
        <w:rPr>
          <w:rFonts w:ascii="Times New Roman" w:hAnsi="Times New Roman"/>
          <w:b w:val="0"/>
          <w:sz w:val="28"/>
          <w:u w:val="single"/>
        </w:rPr>
        <w:t>огласование проведения ярмарки</w:t>
      </w:r>
      <w:r>
        <w:rPr>
          <w:rFonts w:ascii="Times New Roman" w:hAnsi="Times New Roman"/>
          <w:sz w:val="28"/>
          <w:u w:val="single"/>
        </w:rPr>
        <w:t>»</w:t>
      </w:r>
      <w:bookmarkStart w:id="1" w:name="_GoBack"/>
      <w:bookmarkEnd w:id="1"/>
      <w:r>
        <w:rPr>
          <w:rFonts w:ascii="Times New Roman" w:hAnsi="Times New Roman"/>
          <w:sz w:val="28"/>
          <w:u w:val="single"/>
        </w:rPr>
        <w:t>.</w:t>
      </w:r>
    </w:p>
    <w:p w14:paraId="13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color w:val="000000"/>
          <w:sz w:val="28"/>
          <w:u w:val="single"/>
        </w:rPr>
        <w:t>Федеральный з</w:t>
      </w:r>
      <w:r>
        <w:rPr>
          <w:rFonts w:ascii="Times New Roman" w:hAnsi="Times New Roman"/>
          <w:color w:val="000000"/>
          <w:sz w:val="28"/>
          <w:u w:val="single"/>
        </w:rPr>
        <w:t xml:space="preserve">акон от 28.12.2009  </w:t>
      </w:r>
      <w:r>
        <w:rPr>
          <w:rFonts w:ascii="Times New Roman" w:hAnsi="Times New Roman"/>
          <w:color w:val="000000"/>
          <w:sz w:val="28"/>
          <w:u w:val="single"/>
        </w:rPr>
        <w:t>№ 381-ФЗ «Об основах государственного регулирования</w:t>
      </w:r>
      <w:r>
        <w:rPr>
          <w:rFonts w:ascii="Times New Roman" w:hAnsi="Times New Roman"/>
          <w:color w:val="000000"/>
          <w:sz w:val="28"/>
          <w:u w:val="single"/>
        </w:rPr>
        <w:t xml:space="preserve"> торговой деятел</w:t>
      </w:r>
      <w:r>
        <w:rPr>
          <w:rFonts w:ascii="Times New Roman" w:hAnsi="Times New Roman"/>
          <w:color w:val="000000"/>
          <w:sz w:val="28"/>
          <w:u w:val="single"/>
        </w:rPr>
        <w:t>ьности в Российской Федерации»; Федеральный закон от 27.07.2010 № 210-ФЗ «Об организации предоставления государственных и муниципальных услуг»; постановление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>
        <w:rPr>
          <w:rFonts w:ascii="Times New Roman" w:hAnsi="Times New Roman"/>
          <w:color w:val="000000"/>
          <w:sz w:val="28"/>
          <w:u w:val="single"/>
        </w:rPr>
        <w:t>;</w:t>
      </w:r>
      <w:r>
        <w:rPr>
          <w:rFonts w:ascii="Times New Roman" w:hAnsi="Times New Roman"/>
          <w:color w:val="000000"/>
          <w:sz w:val="28"/>
          <w:u w:val="single"/>
        </w:rPr>
        <w:t xml:space="preserve"> Ус</w:t>
      </w:r>
      <w:r>
        <w:rPr>
          <w:rFonts w:ascii="Times New Roman" w:hAnsi="Times New Roman"/>
          <w:color w:val="000000"/>
          <w:sz w:val="28"/>
          <w:u w:val="single"/>
        </w:rPr>
        <w:t>тав муниципального образования Прокопьевский муниципальный округ Кемеровской области - Кузбасса</w:t>
      </w:r>
      <w:r>
        <w:rPr>
          <w:rFonts w:ascii="Times New Roman" w:hAnsi="Times New Roman"/>
          <w:sz w:val="28"/>
          <w:u w:val="single"/>
        </w:rPr>
        <w:t>.</w:t>
      </w:r>
    </w:p>
    <w:p w14:paraId="14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 Описание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имеется.</w:t>
      </w:r>
    </w:p>
    <w:p w14:paraId="15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8.1. Описание иных возможных способов решения проблемы: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6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 </w:t>
      </w:r>
      <w:r>
        <w:rPr>
          <w:rFonts w:ascii="Times New Roman" w:hAnsi="Times New Roman"/>
          <w:sz w:val="28"/>
          <w:u w:val="single"/>
        </w:rPr>
        <w:t>ю</w:t>
      </w:r>
      <w:r>
        <w:rPr>
          <w:rFonts w:ascii="Times New Roman" w:hAnsi="Times New Roman"/>
          <w:sz w:val="28"/>
          <w:u w:val="single"/>
        </w:rPr>
        <w:t>ридические лица и индивидуальные предприниматели, в том числе организации потребительской кооперации, ассоциации и союзы сельскохозяйственных товаропроизводителей, производителей продуктов питания, ассоциации и союзы, объединяющие субъектов торговой деятельности (торговые союзы), иные профильные предпринимательские объединения</w:t>
      </w:r>
      <w:r>
        <w:rPr>
          <w:rFonts w:ascii="Times New Roman" w:hAnsi="Times New Roman"/>
          <w:sz w:val="28"/>
          <w:u w:val="single"/>
        </w:rPr>
        <w:t>.</w:t>
      </w:r>
    </w:p>
    <w:p w14:paraId="17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9.1. Оценка количества таких субъектов: </w:t>
      </w:r>
      <w:r>
        <w:rPr>
          <w:rFonts w:ascii="Times New Roman" w:hAnsi="Times New Roman"/>
          <w:sz w:val="28"/>
          <w:u w:val="single"/>
        </w:rPr>
        <w:t>в зависимости от потребности.</w:t>
      </w:r>
    </w:p>
    <w:p w14:paraId="18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 Новые функции, полномочия, обязанности и права органов местного самоуправления или сведения об их изменении, а также порядок их реализации: </w:t>
      </w:r>
      <w:r>
        <w:rPr>
          <w:rFonts w:ascii="Times New Roman" w:hAnsi="Times New Roman"/>
          <w:sz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/>
          <w:sz w:val="28"/>
        </w:rPr>
        <w:t>.</w:t>
      </w:r>
    </w:p>
    <w:p w14:paraId="19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11. Оценка соответствующих расходов (возможных поступлений) бюджета Прокопьевского муниципального округа: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  <w:u w:val="single"/>
        </w:rPr>
        <w:t>.</w:t>
      </w:r>
    </w:p>
    <w:p w14:paraId="1A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</w:t>
      </w:r>
      <w:r>
        <w:rPr>
          <w:rFonts w:ascii="Times New Roman" w:hAnsi="Times New Roman"/>
          <w:sz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/>
          <w:sz w:val="28"/>
        </w:rPr>
        <w:t xml:space="preserve">ок организации их исполнения: </w:t>
      </w:r>
      <w:r>
        <w:rPr>
          <w:rFonts w:ascii="Times New Roman" w:hAnsi="Times New Roman"/>
          <w:sz w:val="28"/>
          <w:u w:val="single"/>
        </w:rPr>
        <w:t>отсутствуют</w:t>
      </w:r>
      <w:r>
        <w:rPr>
          <w:rFonts w:ascii="Times New Roman" w:hAnsi="Times New Roman"/>
          <w:sz w:val="28"/>
          <w:u w:val="single"/>
        </w:rPr>
        <w:t>.</w:t>
      </w:r>
    </w:p>
    <w:p w14:paraId="1B000000">
      <w:pPr>
        <w:pStyle w:val="Style_3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  <w:u w:val="single"/>
        </w:rPr>
        <w:t>отсутствует.</w:t>
      </w:r>
    </w:p>
    <w:p w14:paraId="1C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/>
          <w:sz w:val="28"/>
        </w:rPr>
        <w:t xml:space="preserve">ериода), а также  эксперимента: </w:t>
      </w:r>
      <w:r>
        <w:rPr>
          <w:rFonts w:ascii="Times New Roman" w:hAnsi="Times New Roman"/>
          <w:sz w:val="28"/>
          <w:u w:val="single"/>
        </w:rPr>
        <w:t>февраль</w:t>
      </w:r>
      <w:r>
        <w:rPr>
          <w:rFonts w:ascii="Times New Roman" w:hAnsi="Times New Roman"/>
          <w:sz w:val="28"/>
          <w:u w:val="single"/>
        </w:rPr>
        <w:t xml:space="preserve"> 20</w:t>
      </w:r>
      <w:r>
        <w:rPr>
          <w:rFonts w:ascii="Times New Roman" w:hAnsi="Times New Roman"/>
          <w:sz w:val="28"/>
          <w:u w:val="single"/>
        </w:rPr>
        <w:t>26</w:t>
      </w:r>
      <w:r>
        <w:rPr>
          <w:rFonts w:ascii="Times New Roman" w:hAnsi="Times New Roman"/>
          <w:sz w:val="28"/>
          <w:u w:val="single"/>
        </w:rPr>
        <w:t xml:space="preserve"> года</w:t>
      </w:r>
      <w:r>
        <w:rPr>
          <w:rFonts w:ascii="Times New Roman" w:hAnsi="Times New Roman"/>
          <w:sz w:val="28"/>
          <w:u w:val="single"/>
        </w:rPr>
        <w:t>.</w:t>
      </w:r>
    </w:p>
    <w:p w14:paraId="1D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15. Сведения о </w:t>
      </w:r>
      <w:r>
        <w:rPr>
          <w:rFonts w:ascii="Times New Roman" w:hAnsi="Times New Roman"/>
          <w:sz w:val="28"/>
        </w:rPr>
        <w:t xml:space="preserve">проведении публичных </w:t>
      </w:r>
      <w:r>
        <w:rPr>
          <w:rFonts w:ascii="Times New Roman" w:hAnsi="Times New Roman"/>
          <w:sz w:val="28"/>
        </w:rPr>
        <w:t>обсуждений</w:t>
      </w:r>
      <w:r>
        <w:rPr>
          <w:rFonts w:ascii="Times New Roman" w:hAnsi="Times New Roman"/>
          <w:sz w:val="28"/>
        </w:rPr>
        <w:t>:</w:t>
      </w:r>
    </w:p>
    <w:p w14:paraId="1E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15.1. Сроки публичного обсуждения: </w:t>
      </w:r>
      <w:r>
        <w:rPr>
          <w:rFonts w:ascii="Times New Roman" w:hAnsi="Times New Roman"/>
          <w:sz w:val="28"/>
          <w:u w:val="single"/>
        </w:rPr>
        <w:t>с</w:t>
      </w:r>
      <w:r>
        <w:rPr>
          <w:rFonts w:ascii="Times New Roman" w:hAnsi="Times New Roman"/>
          <w:sz w:val="28"/>
          <w:u w:val="single"/>
        </w:rPr>
        <w:t xml:space="preserve"> 15.</w:t>
      </w:r>
      <w:r>
        <w:rPr>
          <w:rFonts w:ascii="Times New Roman" w:hAnsi="Times New Roman"/>
          <w:sz w:val="28"/>
          <w:u w:val="single"/>
        </w:rPr>
        <w:t>01</w:t>
      </w:r>
      <w:r>
        <w:rPr>
          <w:rFonts w:ascii="Times New Roman" w:hAnsi="Times New Roman"/>
          <w:sz w:val="28"/>
          <w:u w:val="single"/>
        </w:rPr>
        <w:t>.2026</w:t>
      </w:r>
      <w:r>
        <w:rPr>
          <w:rFonts w:ascii="Times New Roman" w:hAnsi="Times New Roman"/>
          <w:sz w:val="28"/>
          <w:u w:val="single"/>
        </w:rPr>
        <w:t xml:space="preserve"> по 28</w:t>
      </w:r>
      <w:r>
        <w:rPr>
          <w:rFonts w:ascii="Times New Roman" w:hAnsi="Times New Roman"/>
          <w:sz w:val="28"/>
          <w:u w:val="single"/>
        </w:rPr>
        <w:t>.01</w:t>
      </w:r>
      <w:r>
        <w:rPr>
          <w:rFonts w:ascii="Times New Roman" w:hAnsi="Times New Roman"/>
          <w:sz w:val="28"/>
          <w:u w:val="single"/>
        </w:rPr>
        <w:t>.2026</w:t>
      </w:r>
    </w:p>
    <w:p w14:paraId="1F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none"/>
        </w:rPr>
        <w:t xml:space="preserve">15.2. Лица, организации, представившие предложения: </w:t>
      </w:r>
      <w:r>
        <w:rPr>
          <w:rFonts w:ascii="Times New Roman" w:hAnsi="Times New Roman"/>
          <w:sz w:val="28"/>
          <w:u w:val="single"/>
        </w:rPr>
        <w:t>отсутствуют.</w:t>
      </w:r>
    </w:p>
    <w:p w14:paraId="20000000">
      <w:pPr>
        <w:spacing w:after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16. Иные сведения, которые, по мнению органа-разработчика, позволяют оценить обоснованность предлагаемого регулирования: </w:t>
      </w:r>
      <w:r>
        <w:rPr>
          <w:rFonts w:ascii="Times New Roman" w:hAnsi="Times New Roman"/>
          <w:sz w:val="28"/>
          <w:u w:val="single"/>
        </w:rPr>
        <w:t>не имеются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1106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1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2" w:type="paragraph">
    <w:name w:val="Hyperlink"/>
    <w:basedOn w:val="Style_10"/>
    <w:link w:val="Style_2_ch"/>
    <w:rPr>
      <w:color w:themeColor="hyperlink" w:val="0000FF"/>
      <w:u w:val="single"/>
    </w:rPr>
  </w:style>
  <w:style w:styleId="Style_2_ch" w:type="character">
    <w:name w:val="Hyperlink"/>
    <w:basedOn w:val="Style_10_ch"/>
    <w:link w:val="Style_2"/>
    <w:rPr>
      <w:color w:themeColor="hyperlink"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3" w:type="paragraph">
    <w:name w:val="ConsPlusNonformat"/>
    <w:link w:val="Style_3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3_ch" w:type="character">
    <w:name w:val="ConsPlusNonformat"/>
    <w:link w:val="Style_3"/>
    <w:rPr>
      <w:rFonts w:ascii="Courier New" w:hAnsi="Courier New"/>
      <w:sz w:val="20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2026-01-16T03:38:30Z</dcterms:modified>
</cp:coreProperties>
</file>