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b w:val="false"/>
          <w:i/>
          <w:i/>
          <w:sz w:val="22"/>
        </w:rPr>
      </w:pPr>
      <w:r>
        <w:rPr>
          <w:b w:val="false"/>
          <w:i/>
          <w:sz w:val="22"/>
        </w:rPr>
        <w:t xml:space="preserve">Для </w:t>
      </w:r>
      <w:r>
        <w:rPr>
          <w:b/>
          <w:i/>
          <w:sz w:val="22"/>
        </w:rPr>
        <w:t>подпункта</w:t>
      </w:r>
      <w:r>
        <w:rPr>
          <w:b/>
          <w:i w:val="false"/>
          <w:sz w:val="22"/>
        </w:rPr>
        <w:t xml:space="preserve"> «д)»</w:t>
      </w:r>
      <w:r>
        <w:rPr>
          <w:b w:val="false"/>
          <w:i w:val="false"/>
          <w:sz w:val="22"/>
        </w:rPr>
        <w:t xml:space="preserve"> </w:t>
      </w:r>
      <w:r>
        <w:rPr>
          <w:b w:val="false"/>
          <w:i/>
          <w:sz w:val="22"/>
        </w:rPr>
        <w:t xml:space="preserve">Памятки </w:t>
      </w:r>
      <w:r>
        <w:rPr>
          <w:b w:val="false"/>
          <w:i/>
          <w:sz w:val="21"/>
        </w:rPr>
        <w:t xml:space="preserve">о порядке подачи документов </w:t>
      </w:r>
    </w:p>
    <w:p>
      <w:pPr>
        <w:pStyle w:val="Normal"/>
        <w:jc w:val="right"/>
        <w:rPr>
          <w:b w:val="false"/>
          <w:i/>
          <w:i/>
          <w:sz w:val="22"/>
        </w:rPr>
      </w:pPr>
      <w:r>
        <w:rPr>
          <w:b w:val="false"/>
          <w:i/>
          <w:sz w:val="21"/>
        </w:rPr>
        <w:t xml:space="preserve">для включения в состав участников </w:t>
      </w:r>
      <w:r>
        <w:rPr>
          <w:b w:val="false"/>
          <w:i/>
          <w:sz w:val="22"/>
        </w:rPr>
        <w:t>мероприятия по обеспечению жильем молодых</w:t>
      </w:r>
    </w:p>
    <w:p>
      <w:pPr>
        <w:pStyle w:val="Normal"/>
        <w:jc w:val="right"/>
        <w:rPr>
          <w:b/>
          <w:sz w:val="22"/>
        </w:rPr>
      </w:pPr>
      <w:r>
        <w:rPr>
          <w:b/>
          <w:sz w:val="22"/>
        </w:rPr>
      </w:r>
    </w:p>
    <w:p>
      <w:pPr>
        <w:pStyle w:val="Normal"/>
        <w:jc w:val="center"/>
        <w:rPr>
          <w:b/>
          <w:sz w:val="22"/>
        </w:rPr>
      </w:pPr>
      <w:r>
        <w:rPr>
          <w:b/>
          <w:sz w:val="22"/>
        </w:rPr>
        <w:t>П А М Я Т К А № 1</w:t>
      </w:r>
    </w:p>
    <w:p>
      <w:pPr>
        <w:pStyle w:val="ConsPlusTitle1"/>
        <w:jc w:val="center"/>
        <w:rPr>
          <w:rFonts w:ascii="Times New Roman" w:hAnsi="Times New Roman"/>
          <w:b w:val="false"/>
          <w:sz w:val="22"/>
        </w:rPr>
      </w:pPr>
      <w:r>
        <w:rPr>
          <w:rFonts w:ascii="Times New Roman" w:hAnsi="Times New Roman"/>
          <w:b w:val="false"/>
          <w:sz w:val="22"/>
        </w:rPr>
        <w:t>о порядке  и условиях признания молодой семьи имеющей достаточные доходы, позволяющие получить жилищный кредит, в том числе ипотечный, или жилищный заем (далее - кредит) для оплаты расчетной (средней) стоимости жилья, превышающей размер предоставляемой социальной выплаты на приобретение жилого помещения или создание объекта индивидуального жилищного строительства</w:t>
      </w:r>
    </w:p>
    <w:p>
      <w:pPr>
        <w:pStyle w:val="ConsPlusTitle1"/>
        <w:jc w:val="center"/>
        <w:rPr>
          <w:rFonts w:ascii="Times New Roman" w:hAnsi="Times New Roman"/>
          <w:b w:val="false"/>
          <w:sz w:val="21"/>
        </w:rPr>
      </w:pPr>
      <w:r>
        <w:rPr>
          <w:rFonts w:ascii="Times New Roman" w:hAnsi="Times New Roman"/>
          <w:b w:val="false"/>
          <w:sz w:val="21"/>
        </w:rPr>
      </w:r>
    </w:p>
    <w:p>
      <w:pPr>
        <w:pStyle w:val="ConsPlusTitle1"/>
        <w:jc w:val="center"/>
        <w:rPr>
          <w:sz w:val="21"/>
        </w:rPr>
      </w:pPr>
      <w:r>
        <w:rPr>
          <w:sz w:val="21"/>
        </w:rPr>
      </w:r>
    </w:p>
    <w:p>
      <w:pPr>
        <w:pStyle w:val="Normal"/>
        <w:jc w:val="both"/>
        <w:rPr>
          <w:rFonts w:ascii="Times New Roman" w:hAnsi="Times New Roman"/>
          <w:b w:val="false"/>
          <w:sz w:val="22"/>
        </w:rPr>
      </w:pPr>
      <w:r>
        <w:rPr>
          <w:sz w:val="22"/>
        </w:rPr>
        <w:t xml:space="preserve">Настоящая памятка разработана в соответствии с </w:t>
      </w:r>
      <w:r>
        <w:rPr>
          <w:b w:val="false"/>
          <w:sz w:val="22"/>
        </w:rPr>
        <w:t>Постановлением Коллегии Администрации Кемеровской области от 10.08.2011 № 379 «О реализации на территории Кемеровской области - Кузбасса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Постановление № 379).</w:t>
      </w:r>
    </w:p>
    <w:p>
      <w:pPr>
        <w:pStyle w:val="Normal"/>
        <w:jc w:val="both"/>
        <w:rPr>
          <w:sz w:val="22"/>
        </w:rPr>
      </w:pPr>
      <w:r>
        <w:rPr>
          <w:sz w:val="22"/>
        </w:rPr>
      </w:r>
    </w:p>
    <w:p>
      <w:pPr>
        <w:pStyle w:val="Normal"/>
        <w:ind w:firstLine="709" w:left="0" w:right="0"/>
        <w:jc w:val="both"/>
        <w:rPr/>
      </w:pPr>
      <w:r>
        <w:rPr/>
        <w:t xml:space="preserve">Для признания молодой семьи имеющей достаточные доходы молодая семья подает в орган местного самоуправления (администрацию Прокопьевского муниципального округа) по месту жительства заявление в соответствии с приложением № 1 к Постановлению № 379 и </w:t>
      </w:r>
      <w:r>
        <w:rPr>
          <w:b/>
        </w:rPr>
        <w:t>один или несколько</w:t>
      </w:r>
      <w:r>
        <w:rPr/>
        <w:t xml:space="preserve"> </w:t>
      </w:r>
      <w:r>
        <w:rPr>
          <w:b/>
        </w:rPr>
        <w:t>из указанных в пункте 5</w:t>
      </w:r>
      <w:r>
        <w:rPr/>
        <w:t xml:space="preserve"> Постановления № 379 документов, подтверждающих доходы молодой семьи за последние 6 месяцев либо наличие у молодой семьи иных денежных средств.</w:t>
      </w:r>
    </w:p>
    <w:p>
      <w:pPr>
        <w:pStyle w:val="Normal"/>
        <w:ind w:firstLine="709" w:left="0" w:right="0"/>
        <w:jc w:val="both"/>
        <w:rPr/>
      </w:pPr>
      <w:r>
        <w:rPr/>
        <w:t>В заявлении должно быть изложено согласие молодой семьи на проверку органом местного самоуправления представленных ею сведений.</w:t>
      </w:r>
    </w:p>
    <w:p>
      <w:pPr>
        <w:pStyle w:val="Normal"/>
        <w:ind w:firstLine="709" w:left="0" w:right="0"/>
        <w:jc w:val="both"/>
        <w:rPr/>
      </w:pPr>
      <w:r>
        <w:rPr/>
      </w:r>
    </w:p>
    <w:p>
      <w:pPr>
        <w:pStyle w:val="Normal"/>
        <w:ind w:firstLine="709" w:left="0" w:right="0"/>
        <w:rPr/>
      </w:pPr>
      <w:r>
        <w:rPr/>
        <w:t>5. Документами, подтверждающими доходы молодой семьи, а также наличие у молодой семьи иных денежных средств являются:</w:t>
      </w:r>
    </w:p>
    <w:p>
      <w:pPr>
        <w:pStyle w:val="Normal"/>
        <w:ind w:firstLine="709" w:left="0" w:right="0"/>
        <w:jc w:val="both"/>
        <w:rPr/>
      </w:pPr>
      <w:r>
        <w:rPr/>
        <w:t>5.1. Справка о доходах с места работы членов молодой семьи за последние 6 месяцев или налоговые декларации о доходах членов молодой семьи.</w:t>
      </w:r>
    </w:p>
    <w:p>
      <w:pPr>
        <w:pStyle w:val="Normal"/>
        <w:ind w:firstLine="709" w:left="0" w:right="0"/>
        <w:rPr/>
      </w:pPr>
      <w:r>
        <w:rPr/>
        <w:t>5.2. Документ, подтверждающий наличие у молодой семьи иных денежных средств:</w:t>
      </w:r>
    </w:p>
    <w:p>
      <w:pPr>
        <w:pStyle w:val="Normal"/>
        <w:ind w:firstLine="709" w:left="0" w:right="0"/>
        <w:jc w:val="both"/>
        <w:rPr/>
      </w:pPr>
      <w:r>
        <w:rPr/>
        <w:t>5.2.1. Справка кредитной организации, подтверждающая готовность предоставить молодой семье кредит для оплаты цены договора купли-продажи жилого помещения, для оплаты цены договора строительного подряда на строительство жилого дома, для погашения суммы основного долга (части суммы основного долга) и уплаты процентов по кредитам на приобретение жилого помещения или строительство жилого дома или по кредиту (займу) на погашение ранее предоставленного кредита на приобретение жилого помещения или строительство жилого дом, за исключением иных процентов, штрафов, комиссий и пеней за просрочку исполнения обязательств по указанным кредитам или кредитам (займам) на погашение ранее предоставленного кредита,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 для погашения суммы основного долга (части суммы основного долга) и уплаты процентов по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кредитам либо кредитам (займам) на погашение ранее предоставленного кредита).</w:t>
      </w:r>
    </w:p>
    <w:p>
      <w:pPr>
        <w:pStyle w:val="Normal"/>
        <w:ind w:firstLine="709" w:left="0" w:right="0"/>
        <w:rPr/>
      </w:pPr>
      <w:r>
        <w:rPr/>
        <w:t>5.2.2. Документ, подтверждающий наличие у членов (члена) молодой семьи вкладов в кредитных организациях.</w:t>
      </w:r>
    </w:p>
    <w:p>
      <w:pPr>
        <w:pStyle w:val="Normal"/>
        <w:ind w:firstLine="709" w:left="0" w:right="0"/>
        <w:rPr/>
      </w:pPr>
      <w:r>
        <w:rPr/>
        <w:t>5.2.3. Копия (заверенная нотариально или представленная с предъявлением подлинника) государственного сертификата на материнский (семейный) капитал.</w:t>
      </w:r>
    </w:p>
    <w:p>
      <w:pPr>
        <w:pStyle w:val="Normal"/>
        <w:ind w:firstLine="709" w:left="0" w:right="0"/>
        <w:rPr/>
      </w:pPr>
      <w:r>
        <w:rPr/>
        <w:t>5.2.4. Выписка из Единого государственного реестра недвижимости о зарегистрированных правах членов (члена) молодой семьи на объекты недвижимого имущества, о зарегистрированных ограничениях (обременениях) прав, правопритязаниях, правах требования, заявленных в судебном порядке.</w:t>
      </w:r>
    </w:p>
    <w:p>
      <w:pPr>
        <w:pStyle w:val="Normal"/>
        <w:ind w:firstLine="709" w:left="0" w:right="0"/>
        <w:jc w:val="both"/>
        <w:rPr/>
      </w:pPr>
      <w:r>
        <w:rPr/>
        <w:t>5.2.5. Отчет об оценке объектов недвижимого имущества или заключение о рыночной стоимости объектов недвижимого имущества, находящегося в собственности членов (члена) молодой семьи, произведенные оценочной организацией в порядке, установленном законодательством Российской Федерации.</w:t>
      </w:r>
    </w:p>
    <w:p>
      <w:pPr>
        <w:pStyle w:val="Normal"/>
        <w:ind w:firstLine="709" w:left="0" w:right="0"/>
        <w:rPr/>
      </w:pPr>
      <w:r>
        <w:rPr/>
        <w:t>5.2.6. Копия кредитного договора (в случае, если такой договор был заключен до даты подачи заявления).</w:t>
      </w:r>
    </w:p>
    <w:p>
      <w:pPr>
        <w:pStyle w:val="Normal"/>
        <w:jc w:val="both"/>
        <w:rPr>
          <w:sz w:val="22"/>
        </w:rPr>
      </w:pPr>
      <w:r>
        <w:rPr>
          <w:sz w:val="22"/>
        </w:rPr>
      </w:r>
    </w:p>
    <w:p>
      <w:pPr>
        <w:pStyle w:val="ConsPlusNormal1"/>
        <w:widowControl/>
        <w:ind w:hanging="0" w:left="0" w:right="0"/>
        <w:jc w:val="both"/>
        <w:rPr>
          <w:rFonts w:ascii="XO Thames" w:hAnsi="XO Thames"/>
          <w:sz w:val="22"/>
        </w:rPr>
      </w:pPr>
      <w:r>
        <w:rPr>
          <w:rFonts w:ascii="Times New Roman" w:hAnsi="Times New Roman"/>
          <w:b/>
          <w:sz w:val="22"/>
        </w:rPr>
        <w:t xml:space="preserve">   </w:t>
      </w:r>
      <w:r>
        <w:rPr>
          <w:rFonts w:ascii="XO Thames" w:hAnsi="XO Thames"/>
          <w:sz w:val="22"/>
        </w:rPr>
        <w:t xml:space="preserve">Администрация Прокопьевского муниципального округа организует работу по проверке сведений, содержащихся в представленных документах и в течение 10 рабочих дней со дня регистрации поступившего от молодой семьи заявления с приложением необходимых документов оценивает доходы и иные денежные средства молодой семьи и принимает решение, оформляемое в виде заключения о признании (непризнании) молодой семьи имеющей достаточные доходы. </w:t>
      </w:r>
    </w:p>
    <w:p>
      <w:pPr>
        <w:pStyle w:val="Normal"/>
        <w:ind w:firstLine="567" w:left="0" w:right="0"/>
        <w:jc w:val="both"/>
        <w:rPr>
          <w:sz w:val="22"/>
        </w:rPr>
      </w:pPr>
      <w:r>
        <w:rPr>
          <w:sz w:val="22"/>
        </w:rPr>
        <w:t>Молодая семья признается имеющей достаточные доходы, если представленными документами подтверждается возможность оплаты расчетной (средней) стоимости жилья в части, превышающей размер предоставляемой социальной выплаты на приобретение жилого помещения или создание объекта индивидуального жилищного строительств.</w:t>
      </w:r>
    </w:p>
    <w:p>
      <w:pPr>
        <w:pStyle w:val="Normal"/>
        <w:ind w:firstLine="540" w:left="0" w:right="0"/>
        <w:jc w:val="both"/>
        <w:rPr>
          <w:sz w:val="22"/>
        </w:rPr>
      </w:pPr>
      <w:r>
        <w:rPr>
          <w:sz w:val="22"/>
        </w:rPr>
        <w:t>Решение органа местного самоуправление может быть обжаловано в суде в порядке, установленном действующим законодательством Российской Федерации.</w:t>
      </w:r>
    </w:p>
    <w:p>
      <w:pPr>
        <w:pStyle w:val="Normal"/>
        <w:ind w:firstLine="540" w:left="0" w:right="0"/>
        <w:jc w:val="both"/>
        <w:rPr>
          <w:sz w:val="22"/>
        </w:rPr>
      </w:pPr>
      <w:r>
        <w:rPr>
          <w:sz w:val="22"/>
        </w:rPr>
        <w:t>Орган местного самоуправления в течение 5 рабочих дней с даты оформления заключения о признании (непризнании) молодой семьи имеющей достаточные доходы уведомляет молодую семью о принятом решении письменно. В случае непризнания молодой семьи имеющей достаточные доходы уведомление направляется с обоснованием причин, по которым молодая семья не может быть признана таковой. При отправке уведомления по почте днем его представления считается дата почтового отправления.</w:t>
      </w:r>
    </w:p>
    <w:p>
      <w:pPr>
        <w:pStyle w:val="Normal"/>
        <w:ind w:firstLine="540" w:left="0" w:right="0"/>
        <w:jc w:val="both"/>
        <w:rPr>
          <w:sz w:val="22"/>
        </w:rPr>
      </w:pPr>
      <w:r>
        <w:rPr>
          <w:sz w:val="22"/>
        </w:rPr>
        <w:t xml:space="preserve">6. В признании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w:t>
      </w:r>
      <w:r>
        <w:rPr>
          <w:sz w:val="22"/>
          <w:u w:val="single"/>
        </w:rPr>
        <w:t>отказывается в следующих случаях</w:t>
      </w:r>
      <w:r>
        <w:rPr>
          <w:sz w:val="22"/>
        </w:rPr>
        <w:t>:</w:t>
      </w:r>
    </w:p>
    <w:p>
      <w:pPr>
        <w:pStyle w:val="Normal"/>
        <w:ind w:firstLine="540" w:left="0" w:right="0"/>
        <w:jc w:val="both"/>
        <w:rPr>
          <w:sz w:val="22"/>
        </w:rPr>
      </w:pPr>
      <w:r>
        <w:rPr>
          <w:sz w:val="22"/>
        </w:rPr>
        <w:t>6.1. Если подтвержденные доходы либо позволяющие получить кредит иные денежные средства меньше расчетной (средней) стоимости жилья в части, превышающей размер предоставляемой социальной выплаты.</w:t>
      </w:r>
    </w:p>
    <w:p>
      <w:pPr>
        <w:pStyle w:val="Normal"/>
        <w:ind w:firstLine="540" w:left="0" w:right="0"/>
        <w:jc w:val="both"/>
        <w:rPr>
          <w:sz w:val="22"/>
        </w:rPr>
      </w:pPr>
      <w:r>
        <w:rPr>
          <w:sz w:val="22"/>
        </w:rPr>
        <w:t>6.2. Если на объекты недвижимого имущества, находящегося в собственности члена (членов) молодой семьи, зарегистрированы ограничения (обременения) прав, правопритязания, права требования, заявленные в судебном порядке.</w:t>
      </w:r>
    </w:p>
    <w:p>
      <w:pPr>
        <w:pStyle w:val="Normal"/>
        <w:ind w:firstLine="540" w:left="0" w:right="0"/>
        <w:jc w:val="both"/>
        <w:rPr>
          <w:sz w:val="22"/>
        </w:rPr>
      </w:pPr>
      <w:r>
        <w:rPr>
          <w:sz w:val="22"/>
        </w:rPr>
      </w:r>
    </w:p>
    <w:p>
      <w:pPr>
        <w:pStyle w:val="Normal"/>
        <w:jc w:val="both"/>
        <w:rPr>
          <w:sz w:val="21"/>
        </w:rPr>
      </w:pPr>
      <w:r>
        <w:rPr>
          <w:sz w:val="22"/>
        </w:rPr>
        <w:t xml:space="preserve">        </w:t>
      </w:r>
      <w:r>
        <w:rPr>
          <w:sz w:val="22"/>
        </w:rPr>
        <w:t xml:space="preserve">Заявление и документы подаются </w:t>
      </w:r>
      <w:r>
        <w:rPr>
          <w:sz w:val="21"/>
        </w:rPr>
        <w:t>в жилищный отдел администрации Прокопьевского муниципального округа по адресу: г. Прокопьевск, пр. Гагарина 1в, каб. № 219, тел. (3846) 62-01-62, дни приема: пн. – чт. с 8-00 до 17-00, пт.  с 8-00 до 16-00, обеденный перерыв с 12-00 до 13-00.</w:t>
      </w:r>
    </w:p>
    <w:p>
      <w:pPr>
        <w:pStyle w:val="Normal"/>
        <w:jc w:val="both"/>
        <w:rPr>
          <w:sz w:val="22"/>
        </w:rPr>
      </w:pPr>
      <w:r>
        <w:rPr>
          <w:sz w:val="22"/>
        </w:rPr>
      </w:r>
    </w:p>
    <w:sectPr>
      <w:type w:val="nextPage"/>
      <w:pgSz w:w="11906" w:h="16838"/>
      <w:pgMar w:left="856" w:right="562" w:gutter="0" w:header="0" w:top="232" w:footer="0" w:bottom="346"/>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auto"/>
    <w:pitch w:val="default"/>
  </w:font>
  <w:font w:name="XO Thames">
    <w:charset w:val="01"/>
    <w:family w:val="auto"/>
    <w:pitch w:val="default"/>
  </w:font>
  <w:font w:name="Arial">
    <w:charset w:val="01"/>
    <w:family w:val="auto"/>
    <w:pitch w:val="default"/>
  </w:font>
  <w:font w:name="Tahoma">
    <w:charset w:val="01"/>
    <w:family w:val="auto"/>
    <w:pitch w:val="default"/>
  </w:font>
  <w:font w:name="Courier New">
    <w:charset w:val="01"/>
    <w:family w:val="auto"/>
    <w:pitch w:val="default"/>
  </w:font>
  <w:font w:name="PT Astra Serif">
    <w:charset w:val="01"/>
    <w:family w:val="roman"/>
    <w:pitch w:val="default"/>
  </w:font>
</w:fonts>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Devanagari"/>
        <w:color w:val="000000"/>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4"/>
      <w:szCs w:val="20"/>
      <w:lang w:val="ru-RU" w:eastAsia="zh-CN" w:bidi="hi-IN"/>
    </w:rPr>
  </w:style>
  <w:style w:type="paragraph" w:styleId="Heading1">
    <w:name w:val="heading 1"/>
    <w:next w:val="Normal"/>
    <w:uiPriority w:val="9"/>
    <w:qFormat/>
    <w:pPr>
      <w:widowControl/>
      <w:bidi w:val="0"/>
      <w:spacing w:lineRule="auto" w:line="240" w:before="120" w:after="120"/>
      <w:ind w:hanging="0" w:left="0" w:right="0"/>
      <w:jc w:val="both"/>
      <w:outlineLvl w:val="0"/>
    </w:pPr>
    <w:rPr>
      <w:rFonts w:ascii="XO Thames" w:hAnsi="XO Thames" w:eastAsia="Tahoma" w:cs="Noto Sans Devanagari"/>
      <w:b/>
      <w:color w:val="000000"/>
      <w:spacing w:val="0"/>
      <w:kern w:val="0"/>
      <w:sz w:val="32"/>
      <w:szCs w:val="20"/>
      <w:lang w:val="ru-RU" w:eastAsia="zh-CN" w:bidi="hi-IN"/>
    </w:rPr>
  </w:style>
  <w:style w:type="paragraph" w:styleId="Heading2">
    <w:name w:val="heading 2"/>
    <w:next w:val="Normal"/>
    <w:uiPriority w:val="9"/>
    <w:qFormat/>
    <w:pPr>
      <w:widowControl/>
      <w:bidi w:val="0"/>
      <w:spacing w:lineRule="auto" w:line="240" w:before="120" w:after="120"/>
      <w:ind w:hanging="0" w:left="0" w:right="0"/>
      <w:jc w:val="both"/>
      <w:outlineLvl w:val="1"/>
    </w:pPr>
    <w:rPr>
      <w:rFonts w:ascii="XO Thames" w:hAnsi="XO Thames" w:eastAsia="Tahoma" w:cs="Noto Sans Devanagari"/>
      <w:b/>
      <w:color w:val="000000"/>
      <w:spacing w:val="0"/>
      <w:kern w:val="0"/>
      <w:sz w:val="28"/>
      <w:szCs w:val="20"/>
      <w:lang w:val="ru-RU" w:eastAsia="zh-CN" w:bidi="hi-IN"/>
    </w:rPr>
  </w:style>
  <w:style w:type="paragraph" w:styleId="Heading3">
    <w:name w:val="heading 3"/>
    <w:next w:val="Normal"/>
    <w:uiPriority w:val="9"/>
    <w:qFormat/>
    <w:pPr>
      <w:widowControl/>
      <w:bidi w:val="0"/>
      <w:spacing w:lineRule="auto" w:line="240" w:before="120" w:after="120"/>
      <w:ind w:hanging="0" w:left="0" w:right="0"/>
      <w:jc w:val="both"/>
      <w:outlineLvl w:val="2"/>
    </w:pPr>
    <w:rPr>
      <w:rFonts w:ascii="XO Thames" w:hAnsi="XO Thames" w:eastAsia="Tahoma" w:cs="Noto Sans Devanagari"/>
      <w:b/>
      <w:color w:val="000000"/>
      <w:spacing w:val="0"/>
      <w:kern w:val="0"/>
      <w:sz w:val="26"/>
      <w:szCs w:val="20"/>
      <w:lang w:val="ru-RU" w:eastAsia="zh-CN" w:bidi="hi-IN"/>
    </w:rPr>
  </w:style>
  <w:style w:type="paragraph" w:styleId="Heading4">
    <w:name w:val="heading 4"/>
    <w:next w:val="Normal"/>
    <w:uiPriority w:val="9"/>
    <w:qFormat/>
    <w:pPr>
      <w:widowControl/>
      <w:bidi w:val="0"/>
      <w:spacing w:lineRule="auto" w:line="240" w:before="120" w:after="120"/>
      <w:ind w:hanging="0" w:left="0" w:right="0"/>
      <w:jc w:val="both"/>
      <w:outlineLvl w:val="3"/>
    </w:pPr>
    <w:rPr>
      <w:rFonts w:ascii="XO Thames" w:hAnsi="XO Thames" w:eastAsia="Tahoma" w:cs="Noto Sans Devanagari"/>
      <w:b/>
      <w:color w:val="000000"/>
      <w:spacing w:val="0"/>
      <w:kern w:val="0"/>
      <w:sz w:val="24"/>
      <w:szCs w:val="20"/>
      <w:lang w:val="ru-RU" w:eastAsia="zh-CN" w:bidi="hi-IN"/>
    </w:rPr>
  </w:style>
  <w:style w:type="paragraph" w:styleId="Heading5">
    <w:name w:val="heading 5"/>
    <w:next w:val="Normal"/>
    <w:uiPriority w:val="9"/>
    <w:qFormat/>
    <w:pPr>
      <w:widowControl/>
      <w:bidi w:val="0"/>
      <w:spacing w:lineRule="auto" w:line="240" w:before="120" w:after="120"/>
      <w:ind w:hanging="0" w:left="0" w:right="0"/>
      <w:jc w:val="both"/>
      <w:outlineLvl w:val="4"/>
    </w:pPr>
    <w:rPr>
      <w:rFonts w:ascii="XO Thames" w:hAnsi="XO Thames" w:eastAsia="Tahoma" w:cs="Noto Sans Devanagari"/>
      <w:b/>
      <w:color w:val="000000"/>
      <w:spacing w:val="0"/>
      <w:kern w:val="0"/>
      <w:sz w:val="22"/>
      <w:szCs w:val="20"/>
      <w:lang w:val="ru-RU" w:eastAsia="zh-CN" w:bidi="hi-IN"/>
    </w:rPr>
  </w:style>
  <w:style w:type="character" w:styleId="Contents2">
    <w:name w:val="Contents 2"/>
    <w:qFormat/>
    <w:rPr>
      <w:rFonts w:ascii="XO Thames" w:hAnsi="XO Thames"/>
      <w:sz w:val="28"/>
    </w:rPr>
  </w:style>
  <w:style w:type="character" w:styleId="Contents4">
    <w:name w:val="Contents 4"/>
    <w:qFormat/>
    <w:rPr>
      <w:rFonts w:ascii="XO Thames" w:hAnsi="XO Thames"/>
      <w:sz w:val="28"/>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Endnote">
    <w:name w:val="Endnote"/>
    <w:link w:val="Endnote1"/>
    <w:qFormat/>
    <w:rPr>
      <w:rFonts w:ascii="XO Thames" w:hAnsi="XO Thames"/>
      <w:sz w:val="22"/>
    </w:rPr>
  </w:style>
  <w:style w:type="character" w:styleId="Heading31">
    <w:name w:val="Heading 31"/>
    <w:qFormat/>
    <w:rPr>
      <w:rFonts w:ascii="XO Thames" w:hAnsi="XO Thames"/>
      <w:b/>
      <w:sz w:val="26"/>
    </w:rPr>
  </w:style>
  <w:style w:type="character" w:styleId="DefaultParagraphFont">
    <w:name w:val="Default Paragraph Font"/>
    <w:link w:val="DefaultParagraphFont1"/>
    <w:qFormat/>
    <w:rPr/>
  </w:style>
  <w:style w:type="character" w:styleId="ConsPlusNormal">
    <w:name w:val="ConsPlusNormal"/>
    <w:link w:val="ConsPlusNormal1"/>
    <w:qFormat/>
    <w:rPr>
      <w:rFonts w:ascii="Arial" w:hAnsi="Arial"/>
    </w:rPr>
  </w:style>
  <w:style w:type="character" w:styleId="BalloonText">
    <w:name w:val="Balloon Text"/>
    <w:link w:val="BalloonText1"/>
    <w:qFormat/>
    <w:rPr>
      <w:rFonts w:ascii="Tahoma" w:hAnsi="Tahoma"/>
      <w:sz w:val="16"/>
    </w:rPr>
  </w:style>
  <w:style w:type="character" w:styleId="Contents3">
    <w:name w:val="Contents 3"/>
    <w:qFormat/>
    <w:rPr>
      <w:rFonts w:ascii="XO Thames" w:hAnsi="XO Thames"/>
      <w:sz w:val="28"/>
    </w:rPr>
  </w:style>
  <w:style w:type="character" w:styleId="ConsPlusTitle">
    <w:name w:val="ConsPlusTitle"/>
    <w:link w:val="ConsPlusTitle1"/>
    <w:qFormat/>
    <w:rPr>
      <w:rFonts w:ascii="Arial" w:hAnsi="Arial"/>
      <w:b/>
    </w:rPr>
  </w:style>
  <w:style w:type="character" w:styleId="Heading51">
    <w:name w:val="Heading 51"/>
    <w:qFormat/>
    <w:rPr>
      <w:rFonts w:ascii="XO Thames" w:hAnsi="XO Thames"/>
      <w:b/>
      <w:sz w:val="22"/>
    </w:rPr>
  </w:style>
  <w:style w:type="character" w:styleId="Heading11">
    <w:name w:val="Heading 11"/>
    <w:qFormat/>
    <w:rPr>
      <w:rFonts w:ascii="XO Thames" w:hAnsi="XO Thames"/>
      <w:b/>
      <w:sz w:val="32"/>
    </w:rPr>
  </w:style>
  <w:style w:type="character" w:styleId="Hyperlink">
    <w:name w:val="Hyperlink"/>
    <w:rPr>
      <w:color w:val="0000FF"/>
      <w:u w:val="single"/>
    </w:rPr>
  </w:style>
  <w:style w:type="character" w:styleId="Footnote">
    <w:name w:val="Footnote"/>
    <w:link w:val="Footnote1"/>
    <w:qFormat/>
    <w:rPr>
      <w:rFonts w:ascii="XO Thames" w:hAnsi="XO Thames"/>
      <w:sz w:val="22"/>
    </w:rPr>
  </w:style>
  <w:style w:type="character" w:styleId="Contents1">
    <w:name w:val="Contents 1"/>
    <w:qFormat/>
    <w:rPr>
      <w:rFonts w:ascii="XO Thames" w:hAnsi="XO Thames"/>
      <w:b/>
      <w:sz w:val="28"/>
    </w:rPr>
  </w:style>
  <w:style w:type="character" w:styleId="HeaderandFooter">
    <w:name w:val="Header and Footer"/>
    <w:link w:val="HeaderandFooter1"/>
    <w:qFormat/>
    <w:rPr>
      <w:rFonts w:ascii="XO Thames" w:hAnsi="XO Thames"/>
      <w:sz w:val="28"/>
    </w:rPr>
  </w:style>
  <w:style w:type="character" w:styleId="Contents9">
    <w:name w:val="Contents 9"/>
    <w:qFormat/>
    <w:rPr>
      <w:rFonts w:ascii="XO Thames" w:hAnsi="XO Thames"/>
      <w:sz w:val="28"/>
    </w:rPr>
  </w:style>
  <w:style w:type="character" w:styleId="Contents8">
    <w:name w:val="Contents 8"/>
    <w:qFormat/>
    <w:rPr>
      <w:rFonts w:ascii="XO Thames" w:hAnsi="XO Thames"/>
      <w:sz w:val="28"/>
    </w:rPr>
  </w:style>
  <w:style w:type="character" w:styleId="ConsPlusNonformat">
    <w:name w:val="ConsPlusNonformat"/>
    <w:link w:val="ConsPlusNonformat1"/>
    <w:qFormat/>
    <w:rPr>
      <w:rFonts w:ascii="Courier New" w:hAnsi="Courier New"/>
    </w:rPr>
  </w:style>
  <w:style w:type="character" w:styleId="Contents5">
    <w:name w:val="Contents 5"/>
    <w:qFormat/>
    <w:rPr>
      <w:rFonts w:ascii="XO Thames" w:hAnsi="XO Thames"/>
      <w:sz w:val="28"/>
    </w:rPr>
  </w:style>
  <w:style w:type="character" w:styleId="Subtitle1">
    <w:name w:val="Subtitle1"/>
    <w:qFormat/>
    <w:rPr>
      <w:rFonts w:ascii="XO Thames" w:hAnsi="XO Thames"/>
      <w:i/>
      <w:sz w:val="24"/>
    </w:rPr>
  </w:style>
  <w:style w:type="character" w:styleId="Title1">
    <w:name w:val="Title1"/>
    <w:qFormat/>
    <w:rPr>
      <w:rFonts w:ascii="XO Thames" w:hAnsi="XO Thames"/>
      <w:b/>
      <w:caps/>
      <w:sz w:val="40"/>
    </w:rPr>
  </w:style>
  <w:style w:type="character" w:styleId="Heading41">
    <w:name w:val="Heading 41"/>
    <w:qFormat/>
    <w:rPr>
      <w:rFonts w:ascii="XO Thames" w:hAnsi="XO Thames"/>
      <w:b/>
      <w:sz w:val="24"/>
    </w:rPr>
  </w:style>
  <w:style w:type="character" w:styleId="Heading21">
    <w:name w:val="Heading 21"/>
    <w:qFormat/>
    <w:rPr>
      <w:rFonts w:ascii="XO Thames" w:hAnsi="XO Thames"/>
      <w:b/>
      <w:sz w:val="28"/>
    </w:rPr>
  </w:style>
  <w:style w:type="character" w:styleId="BodyText2">
    <w:name w:val="Body Text 2"/>
    <w:link w:val="BodyText21"/>
    <w:qFormat/>
    <w:rPr>
      <w:sz w:val="28"/>
    </w:rPr>
  </w:style>
  <w:style w:type="paragraph" w:styleId="Style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0">
    <w:name w:val="Указатель"/>
    <w:basedOn w:val="Normal"/>
    <w:qFormat/>
    <w:pPr>
      <w:suppressLineNumbers/>
    </w:pPr>
    <w:rPr>
      <w:rFonts w:ascii="PT Astra Serif" w:hAnsi="PT Astra Serif" w:cs="Noto Sans Devanagari"/>
    </w:rPr>
  </w:style>
  <w:style w:type="paragraph" w:styleId="TOC2">
    <w:name w:val="toc 2"/>
    <w:next w:val="Normal"/>
    <w:uiPriority w:val="39"/>
    <w:pPr>
      <w:widowControl/>
      <w:bidi w:val="0"/>
      <w:spacing w:lineRule="auto" w:line="240" w:before="0" w:after="0"/>
      <w:ind w:hanging="0" w:left="200" w:right="0"/>
      <w:jc w:val="left"/>
    </w:pPr>
    <w:rPr>
      <w:rFonts w:ascii="XO Thames" w:hAnsi="XO Thames" w:eastAsia="Tahoma" w:cs="Noto Sans Devanagari"/>
      <w:color w:val="000000"/>
      <w:spacing w:val="0"/>
      <w:kern w:val="0"/>
      <w:sz w:val="28"/>
      <w:szCs w:val="20"/>
      <w:lang w:val="ru-RU" w:eastAsia="zh-CN" w:bidi="hi-IN"/>
    </w:rPr>
  </w:style>
  <w:style w:type="paragraph" w:styleId="TOC4">
    <w:name w:val="toc 4"/>
    <w:next w:val="Normal"/>
    <w:uiPriority w:val="39"/>
    <w:pPr>
      <w:widowControl/>
      <w:bidi w:val="0"/>
      <w:spacing w:lineRule="auto" w:line="240" w:before="0" w:after="0"/>
      <w:ind w:hanging="0" w:left="600" w:right="0"/>
      <w:jc w:val="left"/>
    </w:pPr>
    <w:rPr>
      <w:rFonts w:ascii="XO Thames" w:hAnsi="XO Thames" w:eastAsia="Tahoma" w:cs="Noto Sans Devanagari"/>
      <w:color w:val="000000"/>
      <w:spacing w:val="0"/>
      <w:kern w:val="0"/>
      <w:sz w:val="28"/>
      <w:szCs w:val="20"/>
      <w:lang w:val="ru-RU" w:eastAsia="zh-CN" w:bidi="hi-IN"/>
    </w:rPr>
  </w:style>
  <w:style w:type="paragraph" w:styleId="TOC6">
    <w:name w:val="toc 6"/>
    <w:next w:val="Normal"/>
    <w:uiPriority w:val="39"/>
    <w:pPr>
      <w:widowControl/>
      <w:bidi w:val="0"/>
      <w:spacing w:lineRule="auto" w:line="240" w:before="0" w:after="0"/>
      <w:ind w:hanging="0" w:left="1000" w:right="0"/>
      <w:jc w:val="left"/>
    </w:pPr>
    <w:rPr>
      <w:rFonts w:ascii="XO Thames" w:hAnsi="XO Thames" w:eastAsia="Tahoma" w:cs="Noto Sans Devanagari"/>
      <w:color w:val="000000"/>
      <w:spacing w:val="0"/>
      <w:kern w:val="0"/>
      <w:sz w:val="28"/>
      <w:szCs w:val="20"/>
      <w:lang w:val="ru-RU" w:eastAsia="zh-CN" w:bidi="hi-IN"/>
    </w:rPr>
  </w:style>
  <w:style w:type="paragraph" w:styleId="TOC7">
    <w:name w:val="toc 7"/>
    <w:next w:val="Normal"/>
    <w:uiPriority w:val="39"/>
    <w:pPr>
      <w:widowControl/>
      <w:bidi w:val="0"/>
      <w:spacing w:lineRule="auto" w:line="240" w:before="0" w:after="0"/>
      <w:ind w:hanging="0" w:left="1200" w:right="0"/>
      <w:jc w:val="left"/>
    </w:pPr>
    <w:rPr>
      <w:rFonts w:ascii="XO Thames" w:hAnsi="XO Thames" w:eastAsia="Tahoma" w:cs="Noto Sans Devanagari"/>
      <w:color w:val="000000"/>
      <w:spacing w:val="0"/>
      <w:kern w:val="0"/>
      <w:sz w:val="28"/>
      <w:szCs w:val="20"/>
      <w:lang w:val="ru-RU" w:eastAsia="zh-CN" w:bidi="hi-IN"/>
    </w:rPr>
  </w:style>
  <w:style w:type="paragraph" w:styleId="Endnote1">
    <w:name w:val="Endnote1"/>
    <w:link w:val="Endnote"/>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DefaultParagraphFont1">
    <w:name w:val="Default Paragraph Font1"/>
    <w:link w:val="DefaultParagraphFont"/>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ConsPlusNormal1">
    <w:name w:val="ConsPlusNormal1"/>
    <w:link w:val="ConsPlusNormal"/>
    <w:qFormat/>
    <w:pPr>
      <w:widowControl w:val="false"/>
      <w:bidi w:val="0"/>
      <w:spacing w:lineRule="auto" w:line="240" w:before="0" w:after="0"/>
      <w:ind w:firstLine="720" w:left="0" w:right="0"/>
      <w:jc w:val="left"/>
    </w:pPr>
    <w:rPr>
      <w:rFonts w:ascii="Arial" w:hAnsi="Arial" w:eastAsia="Tahoma" w:cs="Noto Sans Devanagari"/>
      <w:color w:val="000000"/>
      <w:spacing w:val="0"/>
      <w:kern w:val="0"/>
      <w:sz w:val="20"/>
      <w:szCs w:val="20"/>
      <w:lang w:val="ru-RU" w:eastAsia="zh-CN" w:bidi="hi-IN"/>
    </w:rPr>
  </w:style>
  <w:style w:type="paragraph" w:styleId="BalloonText1">
    <w:name w:val="Balloon Text1"/>
    <w:basedOn w:val="Normal"/>
    <w:link w:val="BalloonText"/>
    <w:qFormat/>
    <w:pPr/>
    <w:rPr>
      <w:rFonts w:ascii="Tahoma" w:hAnsi="Tahoma"/>
      <w:sz w:val="16"/>
    </w:rPr>
  </w:style>
  <w:style w:type="paragraph" w:styleId="TOC3">
    <w:name w:val="toc 3"/>
    <w:next w:val="Normal"/>
    <w:uiPriority w:val="39"/>
    <w:pPr>
      <w:widowControl/>
      <w:bidi w:val="0"/>
      <w:spacing w:lineRule="auto" w:line="240" w:before="0" w:after="0"/>
      <w:ind w:hanging="0" w:left="400" w:right="0"/>
      <w:jc w:val="left"/>
    </w:pPr>
    <w:rPr>
      <w:rFonts w:ascii="XO Thames" w:hAnsi="XO Thames" w:eastAsia="Tahoma" w:cs="Noto Sans Devanagari"/>
      <w:color w:val="000000"/>
      <w:spacing w:val="0"/>
      <w:kern w:val="0"/>
      <w:sz w:val="28"/>
      <w:szCs w:val="20"/>
      <w:lang w:val="ru-RU" w:eastAsia="zh-CN" w:bidi="hi-IN"/>
    </w:rPr>
  </w:style>
  <w:style w:type="paragraph" w:styleId="ConsPlusTitle1">
    <w:name w:val="ConsPlusTitle1"/>
    <w:link w:val="ConsPlusTitle"/>
    <w:qFormat/>
    <w:pPr>
      <w:widowControl w:val="false"/>
      <w:bidi w:val="0"/>
      <w:spacing w:lineRule="auto" w:line="240" w:before="0" w:after="0"/>
      <w:ind w:hanging="0" w:left="0" w:right="0"/>
      <w:jc w:val="left"/>
    </w:pPr>
    <w:rPr>
      <w:rFonts w:ascii="Arial" w:hAnsi="Arial" w:eastAsia="Tahoma" w:cs="Noto Sans Devanagari"/>
      <w:b/>
      <w:color w:val="000000"/>
      <w:spacing w:val="0"/>
      <w:kern w:val="0"/>
      <w:sz w:val="20"/>
      <w:szCs w:val="20"/>
      <w:lang w:val="ru-RU" w:eastAsia="zh-CN" w:bidi="hi-IN"/>
    </w:rPr>
  </w:style>
  <w:style w:type="paragraph" w:styleId="Internetlink">
    <w:name w:val="Internet link"/>
    <w:qFormat/>
    <w:pPr>
      <w:widowControl/>
      <w:bidi w:val="0"/>
      <w:spacing w:lineRule="auto" w:line="240" w:before="0" w:after="0"/>
      <w:ind w:hanging="0" w:left="0" w:right="0"/>
      <w:jc w:val="left"/>
    </w:pPr>
    <w:rPr>
      <w:rFonts w:ascii="Times New Roman" w:hAnsi="Times New Roman" w:eastAsia="Tahoma" w:cs="Noto Sans Devanagari"/>
      <w:color w:val="0000FF"/>
      <w:spacing w:val="0"/>
      <w:kern w:val="0"/>
      <w:sz w:val="20"/>
      <w:szCs w:val="20"/>
      <w:u w:val="single"/>
      <w:lang w:val="ru-RU" w:eastAsia="zh-CN" w:bidi="hi-IN"/>
    </w:rPr>
  </w:style>
  <w:style w:type="paragraph" w:styleId="Footnote1">
    <w:name w:val="Footnote1"/>
    <w:link w:val="Footnote"/>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TOC1">
    <w:name w:val="toc 1"/>
    <w:next w:val="Normal"/>
    <w:uiPriority w:val="39"/>
    <w:pPr>
      <w:widowControl/>
      <w:bidi w:val="0"/>
      <w:spacing w:lineRule="auto" w:line="240" w:before="0" w:after="0"/>
      <w:ind w:hanging="0" w:left="0" w:right="0"/>
      <w:jc w:val="left"/>
    </w:pPr>
    <w:rPr>
      <w:rFonts w:ascii="XO Thames" w:hAnsi="XO Thames" w:eastAsia="Tahoma" w:cs="Noto Sans Devanagari"/>
      <w:b/>
      <w:color w:val="000000"/>
      <w:spacing w:val="0"/>
      <w:kern w:val="0"/>
      <w:sz w:val="28"/>
      <w:szCs w:val="20"/>
      <w:lang w:val="ru-RU" w:eastAsia="zh-CN" w:bidi="hi-IN"/>
    </w:rPr>
  </w:style>
  <w:style w:type="paragraph" w:styleId="HeaderandFooter1">
    <w:name w:val="Header and Footer1"/>
    <w:link w:val="HeaderandFooter"/>
    <w:qFormat/>
    <w:pPr>
      <w:widowControl/>
      <w:bidi w:val="0"/>
      <w:spacing w:lineRule="auto" w:line="240" w:before="0" w:after="0"/>
      <w:ind w:hanging="0" w:left="0" w:right="0"/>
      <w:jc w:val="both"/>
    </w:pPr>
    <w:rPr>
      <w:rFonts w:ascii="XO Thames" w:hAnsi="XO Thames" w:eastAsia="Tahoma" w:cs="Noto Sans Devanagari"/>
      <w:color w:val="000000"/>
      <w:spacing w:val="0"/>
      <w:kern w:val="0"/>
      <w:sz w:val="28"/>
      <w:szCs w:val="20"/>
      <w:lang w:val="ru-RU" w:eastAsia="zh-CN" w:bidi="hi-IN"/>
    </w:rPr>
  </w:style>
  <w:style w:type="paragraph" w:styleId="TOC9">
    <w:name w:val="toc 9"/>
    <w:next w:val="Normal"/>
    <w:uiPriority w:val="39"/>
    <w:pPr>
      <w:widowControl/>
      <w:bidi w:val="0"/>
      <w:spacing w:lineRule="auto" w:line="240" w:before="0" w:after="0"/>
      <w:ind w:hanging="0" w:left="1600" w:right="0"/>
      <w:jc w:val="left"/>
    </w:pPr>
    <w:rPr>
      <w:rFonts w:ascii="XO Thames" w:hAnsi="XO Thames" w:eastAsia="Tahoma" w:cs="Noto Sans Devanagari"/>
      <w:color w:val="000000"/>
      <w:spacing w:val="0"/>
      <w:kern w:val="0"/>
      <w:sz w:val="28"/>
      <w:szCs w:val="20"/>
      <w:lang w:val="ru-RU" w:eastAsia="zh-CN" w:bidi="hi-IN"/>
    </w:rPr>
  </w:style>
  <w:style w:type="paragraph" w:styleId="TOC8">
    <w:name w:val="toc 8"/>
    <w:next w:val="Normal"/>
    <w:uiPriority w:val="39"/>
    <w:pPr>
      <w:widowControl/>
      <w:bidi w:val="0"/>
      <w:spacing w:lineRule="auto" w:line="240" w:before="0" w:after="0"/>
      <w:ind w:hanging="0" w:left="1400" w:right="0"/>
      <w:jc w:val="left"/>
    </w:pPr>
    <w:rPr>
      <w:rFonts w:ascii="XO Thames" w:hAnsi="XO Thames" w:eastAsia="Tahoma" w:cs="Noto Sans Devanagari"/>
      <w:color w:val="000000"/>
      <w:spacing w:val="0"/>
      <w:kern w:val="0"/>
      <w:sz w:val="28"/>
      <w:szCs w:val="20"/>
      <w:lang w:val="ru-RU" w:eastAsia="zh-CN" w:bidi="hi-IN"/>
    </w:rPr>
  </w:style>
  <w:style w:type="paragraph" w:styleId="ConsPlusNonformat1">
    <w:name w:val="ConsPlusNonformat1"/>
    <w:link w:val="ConsPlusNonformat"/>
    <w:qFormat/>
    <w:pPr>
      <w:widowControl w:val="false"/>
      <w:bidi w:val="0"/>
      <w:spacing w:lineRule="auto" w:line="240" w:before="0" w:after="0"/>
      <w:ind w:hanging="0" w:left="0" w:right="0"/>
      <w:jc w:val="left"/>
    </w:pPr>
    <w:rPr>
      <w:rFonts w:ascii="Courier New" w:hAnsi="Courier New" w:eastAsia="Tahoma" w:cs="Noto Sans Devanagari"/>
      <w:color w:val="000000"/>
      <w:spacing w:val="0"/>
      <w:kern w:val="0"/>
      <w:sz w:val="20"/>
      <w:szCs w:val="20"/>
      <w:lang w:val="ru-RU" w:eastAsia="zh-CN" w:bidi="hi-IN"/>
    </w:rPr>
  </w:style>
  <w:style w:type="paragraph" w:styleId="TOC5">
    <w:name w:val="toc 5"/>
    <w:next w:val="Normal"/>
    <w:uiPriority w:val="39"/>
    <w:pPr>
      <w:widowControl/>
      <w:bidi w:val="0"/>
      <w:spacing w:lineRule="auto" w:line="240" w:before="0" w:after="0"/>
      <w:ind w:hanging="0" w:left="800" w:right="0"/>
      <w:jc w:val="left"/>
    </w:pPr>
    <w:rPr>
      <w:rFonts w:ascii="XO Thames" w:hAnsi="XO Thames" w:eastAsia="Tahoma" w:cs="Noto Sans Devanagari"/>
      <w:color w:val="000000"/>
      <w:spacing w:val="0"/>
      <w:kern w:val="0"/>
      <w:sz w:val="28"/>
      <w:szCs w:val="20"/>
      <w:lang w:val="ru-RU" w:eastAsia="zh-CN" w:bidi="hi-IN"/>
    </w:rPr>
  </w:style>
  <w:style w:type="paragraph" w:styleId="Subtitle">
    <w:name w:val="Subtitle"/>
    <w:next w:val="Normal"/>
    <w:uiPriority w:val="11"/>
    <w:qFormat/>
    <w:pPr>
      <w:widowControl/>
      <w:bidi w:val="0"/>
      <w:spacing w:lineRule="auto" w:line="240" w:before="0" w:after="0"/>
      <w:ind w:hanging="0" w:left="0" w:right="0"/>
      <w:jc w:val="both"/>
    </w:pPr>
    <w:rPr>
      <w:rFonts w:ascii="XO Thames" w:hAnsi="XO Thames" w:eastAsia="Tahoma" w:cs="Noto Sans Devanagari"/>
      <w:i/>
      <w:color w:val="000000"/>
      <w:spacing w:val="0"/>
      <w:kern w:val="0"/>
      <w:sz w:val="24"/>
      <w:szCs w:val="20"/>
      <w:lang w:val="ru-RU" w:eastAsia="zh-CN" w:bidi="hi-IN"/>
    </w:rPr>
  </w:style>
  <w:style w:type="paragraph" w:styleId="Title">
    <w:name w:val="Title"/>
    <w:next w:val="Normal"/>
    <w:uiPriority w:val="10"/>
    <w:qFormat/>
    <w:pPr>
      <w:widowControl/>
      <w:bidi w:val="0"/>
      <w:spacing w:lineRule="auto" w:line="240" w:before="567" w:after="567"/>
      <w:ind w:hanging="0" w:left="0" w:right="0"/>
      <w:jc w:val="center"/>
    </w:pPr>
    <w:rPr>
      <w:rFonts w:ascii="XO Thames" w:hAnsi="XO Thames" w:eastAsia="Tahoma" w:cs="Noto Sans Devanagari"/>
      <w:b/>
      <w:caps/>
      <w:color w:val="000000"/>
      <w:spacing w:val="0"/>
      <w:kern w:val="0"/>
      <w:sz w:val="40"/>
      <w:szCs w:val="20"/>
      <w:lang w:val="ru-RU" w:eastAsia="zh-CN" w:bidi="hi-IN"/>
    </w:rPr>
  </w:style>
  <w:style w:type="paragraph" w:styleId="BodyText21">
    <w:name w:val="Body Text 21"/>
    <w:basedOn w:val="Normal"/>
    <w:link w:val="BodyText2"/>
    <w:qFormat/>
    <w:pPr>
      <w:ind w:firstLine="709" w:left="0"/>
      <w:jc w:val="both"/>
    </w:pPr>
    <w:rPr>
      <w:sz w:val="28"/>
    </w:rPr>
  </w:style>
  <w:style w:type="table" w:default="1" w:styleId="Style_28">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LibreOffice/24.8.4.2$Linux_X86_64 LibreOffice_project/480$Build-2</Application>
  <AppVersion>15.0000</AppVersion>
  <Pages>2</Pages>
  <Words>931</Words>
  <Characters>6404</Characters>
  <CharactersWithSpaces>7328</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2025-02-20T09:27:23Z</dcterms:modified>
  <cp:revision>0</cp:revision>
  <dc:subject/>
  <dc:title/>
</cp:coreProperties>
</file>