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0000000">
      <w:pPr>
        <w:spacing w:after="0" w:line="360" w:lineRule="auto"/>
        <w:ind/>
        <w:jc w:val="center"/>
        <w:rPr>
          <w:rFonts w:ascii="Times New Roman" w:hAnsi="Times New Roman"/>
          <w:b w:val="1"/>
          <w:sz w:val="32"/>
        </w:rPr>
      </w:pPr>
      <w:r>
        <w:rPr>
          <w:rFonts w:ascii="Times New Roman" w:hAnsi="Times New Roman"/>
          <w:b w:val="1"/>
          <w:sz w:val="32"/>
        </w:rPr>
        <w:t>КЕМЕРОВСКАЯ ОБЛАСТЬ-КУЗБАСС</w:t>
      </w:r>
    </w:p>
    <w:p w14:paraId="11000000">
      <w:pPr>
        <w:spacing w:after="0" w:line="360" w:lineRule="auto"/>
        <w:ind/>
        <w:jc w:val="center"/>
        <w:rPr>
          <w:rFonts w:ascii="Times New Roman" w:hAnsi="Times New Roman"/>
          <w:b w:val="1"/>
          <w:sz w:val="28"/>
        </w:rPr>
      </w:pPr>
      <w:r>
        <w:rPr>
          <w:rFonts w:ascii="Times New Roman" w:hAnsi="Times New Roman"/>
          <w:b w:val="1"/>
          <w:sz w:val="28"/>
        </w:rPr>
        <w:t>АДМИНИСТРАЦИЯ</w:t>
      </w:r>
    </w:p>
    <w:p w14:paraId="12000000">
      <w:pPr>
        <w:spacing w:after="0" w:line="360" w:lineRule="auto"/>
        <w:ind/>
        <w:jc w:val="center"/>
        <w:rPr>
          <w:rFonts w:ascii="Times New Roman" w:hAnsi="Times New Roman"/>
          <w:b w:val="1"/>
          <w:sz w:val="28"/>
        </w:rPr>
      </w:pPr>
      <w:r>
        <w:rPr>
          <w:rFonts w:ascii="Times New Roman" w:hAnsi="Times New Roman"/>
          <w:b w:val="1"/>
          <w:sz w:val="28"/>
        </w:rPr>
        <w:t>ПРОКОПЬЕВСКОГО МУНИЦИПАЛЬНОГО ОКРУГА</w:t>
      </w:r>
    </w:p>
    <w:p w14:paraId="13000000">
      <w:pPr>
        <w:spacing w:after="0" w:line="360" w:lineRule="auto"/>
        <w:ind/>
        <w:jc w:val="center"/>
        <w:rPr>
          <w:rFonts w:ascii="Times New Roman" w:hAnsi="Times New Roman"/>
          <w:b w:val="1"/>
          <w:sz w:val="32"/>
        </w:rPr>
      </w:pPr>
      <w:r>
        <w:rPr>
          <w:rFonts w:ascii="Times New Roman" w:hAnsi="Times New Roman"/>
          <w:b w:val="1"/>
          <w:caps w:val="1"/>
          <w:sz w:val="40"/>
        </w:rPr>
        <w:t>постановление</w:t>
      </w:r>
    </w:p>
    <w:p w14:paraId="14000000">
      <w:pPr>
        <w:spacing w:after="0" w:line="240" w:lineRule="auto"/>
        <w:ind/>
        <w:outlineLvl w:val="2"/>
        <w:rPr>
          <w:rFonts w:ascii="Times New Roman" w:hAnsi="Times New Roman"/>
          <w:b w:val="1"/>
          <w:sz w:val="24"/>
        </w:rPr>
      </w:pPr>
    </w:p>
    <w:p w14:paraId="15000000">
      <w:pPr>
        <w:spacing w:after="0" w:line="240" w:lineRule="auto"/>
        <w:ind/>
        <w:outlineLvl w:val="2"/>
        <w:rPr>
          <w:rFonts w:ascii="Times New Roman" w:hAnsi="Times New Roman"/>
          <w:sz w:val="28"/>
        </w:rPr>
      </w:pPr>
      <w:r>
        <w:rPr>
          <w:rFonts w:ascii="Times New Roman" w:hAnsi="Times New Roman"/>
          <w:sz w:val="28"/>
        </w:rPr>
        <w:t>о</w:t>
      </w:r>
      <w:r>
        <w:rPr>
          <w:rFonts w:ascii="Times New Roman" w:hAnsi="Times New Roman"/>
          <w:sz w:val="28"/>
        </w:rPr>
        <w:t>т</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p>
    <w:p w14:paraId="16000000">
      <w:pPr>
        <w:spacing w:after="0" w:line="240" w:lineRule="auto"/>
        <w:ind/>
        <w:outlineLvl w:val="2"/>
        <w:rPr>
          <w:rFonts w:ascii="Times New Roman" w:hAnsi="Times New Roman"/>
          <w:sz w:val="28"/>
        </w:rPr>
      </w:pPr>
    </w:p>
    <w:p w14:paraId="17000000">
      <w:pPr>
        <w:spacing w:after="0" w:line="240" w:lineRule="auto"/>
        <w:ind/>
        <w:rPr>
          <w:rFonts w:ascii="Times New Roman" w:hAnsi="Times New Roman"/>
          <w:sz w:val="28"/>
        </w:rPr>
      </w:pPr>
      <w:r>
        <w:rPr>
          <w:rFonts w:ascii="Times New Roman" w:hAnsi="Times New Roman"/>
          <w:sz w:val="28"/>
        </w:rPr>
        <w:t>г. Прокопьевск</w:t>
      </w:r>
    </w:p>
    <w:p w14:paraId="18000000">
      <w:pPr>
        <w:spacing w:after="0" w:line="240" w:lineRule="auto"/>
        <w:ind/>
        <w:rPr>
          <w:rFonts w:ascii="Times New Roman" w:hAnsi="Times New Roman"/>
          <w:sz w:val="28"/>
        </w:rPr>
      </w:pPr>
    </w:p>
    <w:tbl>
      <w:tblPr>
        <w:tblStyle w:val="Style_2"/>
        <w:tblW w:type="auto" w:w="0"/>
        <w:tblBorders>
          <w:top w:color="000000" w:val="nil"/>
          <w:left w:color="000000" w:val="nil"/>
          <w:bottom w:color="000000" w:val="nil"/>
          <w:right w:color="000000" w:val="nil"/>
          <w:insideH w:color="000000" w:val="nil"/>
          <w:insideV w:color="000000" w:val="nil"/>
        </w:tblBorders>
        <w:tblLayout w:type="fixed"/>
      </w:tblPr>
      <w:tblGrid>
        <w:gridCol w:w="5070"/>
        <w:gridCol w:w="3970"/>
      </w:tblGrid>
      <w:tr>
        <w:tc>
          <w:tcPr>
            <w:tcW w:type="dxa" w:w="5070"/>
            <w:tcBorders>
              <w:top w:color="000000" w:val="nil"/>
              <w:left w:color="000000" w:val="nil"/>
              <w:bottom w:color="000000" w:val="nil"/>
              <w:right w:color="000000" w:val="nil"/>
            </w:tcBorders>
          </w:tcPr>
          <w:p w14:paraId="19000000">
            <w:pPr>
              <w:ind/>
              <w:jc w:val="both"/>
              <w:rPr>
                <w:rFonts w:ascii="Times New Roman" w:hAnsi="Times New Roman"/>
                <w:sz w:val="28"/>
              </w:rPr>
            </w:pPr>
            <w:r>
              <w:rPr>
                <w:rFonts w:ascii="Times New Roman" w:hAnsi="Times New Roman"/>
                <w:sz w:val="28"/>
              </w:rPr>
              <w:t xml:space="preserve">Об утверждении порядка </w:t>
            </w:r>
            <w:r>
              <w:rPr>
                <w:rFonts w:ascii="Times New Roman" w:hAnsi="Times New Roman"/>
                <w:sz w:val="28"/>
              </w:rPr>
              <w:t>«</w:t>
            </w:r>
            <w:r>
              <w:rPr>
                <w:rFonts w:ascii="Times New Roman" w:hAnsi="Times New Roman"/>
                <w:sz w:val="28"/>
              </w:rPr>
              <w:t>Субсидирование</w:t>
            </w:r>
            <w:r>
              <w:rPr>
                <w:rFonts w:ascii="Times New Roman" w:hAnsi="Times New Roman"/>
                <w:sz w:val="28"/>
              </w:rPr>
              <w:t xml:space="preserve"> части затрат,</w:t>
            </w:r>
            <w:r>
              <w:rPr>
                <w:rFonts w:ascii="Times New Roman" w:hAnsi="Times New Roman"/>
                <w:sz w:val="28"/>
              </w:rPr>
              <w:t xml:space="preserve"> </w:t>
            </w:r>
            <w:r>
              <w:rPr>
                <w:rFonts w:ascii="Times New Roman" w:hAnsi="Times New Roman"/>
                <w:sz w:val="28"/>
              </w:rPr>
              <w:t>связанных с технологическим присоединением</w:t>
            </w: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r>
              <w:rPr>
                <w:rFonts w:ascii="Times New Roman" w:hAnsi="Times New Roman"/>
                <w:sz w:val="28"/>
              </w:rPr>
              <w:t>»</w:t>
            </w:r>
          </w:p>
        </w:tc>
        <w:tc>
          <w:tcPr>
            <w:tcW w:type="dxa" w:w="3970"/>
            <w:tcBorders>
              <w:top w:color="000000" w:val="nil"/>
              <w:left w:color="000000" w:val="nil"/>
              <w:bottom w:color="000000" w:val="nil"/>
              <w:right w:color="000000" w:val="nil"/>
            </w:tcBorders>
          </w:tcPr>
          <w:p w14:paraId="1A000000">
            <w:pPr>
              <w:rPr>
                <w:rFonts w:ascii="Times New Roman" w:hAnsi="Times New Roman"/>
                <w:sz w:val="28"/>
              </w:rPr>
            </w:pPr>
          </w:p>
        </w:tc>
      </w:tr>
    </w:tbl>
    <w:p w14:paraId="1B000000">
      <w:pPr>
        <w:spacing w:after="0"/>
        <w:ind/>
        <w:rPr>
          <w:rFonts w:ascii="Times New Roman" w:hAnsi="Times New Roman"/>
          <w:sz w:val="28"/>
        </w:rPr>
      </w:pPr>
    </w:p>
    <w:p w14:paraId="1C000000">
      <w:pPr>
        <w:spacing w:after="0" w:line="240" w:lineRule="auto"/>
        <w:ind w:firstLine="709" w:left="0"/>
        <w:jc w:val="both"/>
        <w:rPr>
          <w:rFonts w:ascii="Times New Roman" w:hAnsi="Times New Roman"/>
          <w:sz w:val="28"/>
        </w:rPr>
      </w:pPr>
      <w:r>
        <w:rPr>
          <w:rFonts w:ascii="Times New Roman" w:hAnsi="Times New Roman"/>
          <w:sz w:val="2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w:t>
      </w:r>
      <w:r>
        <w:rPr>
          <w:rFonts w:ascii="Times New Roman" w:hAnsi="Times New Roman"/>
          <w:sz w:val="28"/>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w:t>
      </w:r>
      <w:r>
        <w:rPr>
          <w:rFonts w:ascii="Times New Roman" w:hAnsi="Times New Roman"/>
          <w:sz w:val="28"/>
        </w:rPr>
        <w:t>,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sz w:val="28"/>
        </w:rPr>
        <w:t>,</w:t>
      </w:r>
      <w:r>
        <w:rPr>
          <w:rFonts w:ascii="Times New Roman" w:hAnsi="Times New Roman"/>
          <w:sz w:val="28"/>
        </w:rPr>
        <w:t xml:space="preserve"> руководствуясь Уставом муниципального образования Прокопьевский муниципальный округ Кемеровской области – Кузбасса,</w:t>
      </w:r>
    </w:p>
    <w:p w14:paraId="1D000000">
      <w:pPr>
        <w:spacing w:after="0" w:line="240" w:lineRule="auto"/>
        <w:ind w:firstLine="709" w:left="0"/>
        <w:jc w:val="both"/>
        <w:rPr>
          <w:rFonts w:ascii="Times New Roman" w:hAnsi="Times New Roman"/>
          <w:sz w:val="28"/>
        </w:rPr>
      </w:pPr>
      <w:r>
        <w:rPr>
          <w:rFonts w:ascii="Times New Roman" w:hAnsi="Times New Roman"/>
          <w:sz w:val="28"/>
        </w:rPr>
        <w:t>администрация Прокопьевского муниципального округа ПОСТАНОВЛЯЕТ:</w:t>
      </w:r>
    </w:p>
    <w:p w14:paraId="1E000000">
      <w:pPr>
        <w:spacing w:after="0" w:line="240" w:lineRule="auto"/>
        <w:ind w:firstLine="709" w:left="0"/>
        <w:jc w:val="both"/>
        <w:rPr>
          <w:rFonts w:ascii="Times New Roman" w:hAnsi="Times New Roman"/>
          <w:sz w:val="28"/>
        </w:rPr>
      </w:pPr>
    </w:p>
    <w:p w14:paraId="1F000000">
      <w:pPr>
        <w:spacing w:after="0" w:line="240" w:lineRule="auto"/>
        <w:ind w:firstLine="709" w:left="0"/>
        <w:jc w:val="both"/>
        <w:rPr>
          <w:rFonts w:ascii="Times New Roman" w:hAnsi="Times New Roman"/>
          <w:sz w:val="28"/>
        </w:rPr>
      </w:pPr>
      <w:r>
        <w:rPr>
          <w:rFonts w:ascii="Times New Roman" w:hAnsi="Times New Roman"/>
          <w:sz w:val="28"/>
        </w:rPr>
        <w:t xml:space="preserve">1. </w:t>
      </w:r>
      <w:r>
        <w:rPr>
          <w:rFonts w:ascii="Times New Roman" w:hAnsi="Times New Roman"/>
          <w:sz w:val="28"/>
        </w:rPr>
        <w:t>Утвердить порядок</w:t>
      </w:r>
      <w:r>
        <w:rPr>
          <w:rFonts w:ascii="Times New Roman" w:hAnsi="Times New Roman"/>
          <w:sz w:val="28"/>
        </w:rPr>
        <w:t xml:space="preserve"> </w:t>
      </w:r>
      <w:r>
        <w:rPr>
          <w:rFonts w:ascii="Times New Roman" w:hAnsi="Times New Roman"/>
          <w:sz w:val="28"/>
        </w:rPr>
        <w:t>«</w:t>
      </w:r>
      <w:r>
        <w:rPr>
          <w:rFonts w:ascii="Times New Roman" w:hAnsi="Times New Roman"/>
          <w:sz w:val="28"/>
        </w:rPr>
        <w:t>Субсидирование</w:t>
      </w:r>
      <w:r>
        <w:rPr>
          <w:rFonts w:ascii="Times New Roman" w:hAnsi="Times New Roman"/>
          <w:sz w:val="28"/>
        </w:rPr>
        <w:t xml:space="preserve"> части затрат,</w:t>
      </w:r>
      <w:r>
        <w:rPr>
          <w:rFonts w:ascii="Times New Roman" w:hAnsi="Times New Roman"/>
          <w:sz w:val="28"/>
        </w:rPr>
        <w:t xml:space="preserve"> </w:t>
      </w:r>
      <w:r>
        <w:rPr>
          <w:rFonts w:ascii="Times New Roman" w:hAnsi="Times New Roman"/>
          <w:sz w:val="28"/>
        </w:rPr>
        <w:t>связанных с технологическим присоединением</w:t>
      </w: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r>
        <w:rPr>
          <w:rFonts w:ascii="Times New Roman" w:hAnsi="Times New Roman"/>
          <w:sz w:val="28"/>
        </w:rPr>
        <w:t>»</w:t>
      </w:r>
      <w:r>
        <w:rPr>
          <w:rFonts w:ascii="Times New Roman" w:hAnsi="Times New Roman"/>
          <w:sz w:val="28"/>
        </w:rPr>
        <w:t xml:space="preserve"> </w:t>
      </w:r>
      <w:r>
        <w:rPr>
          <w:rFonts w:ascii="Times New Roman" w:hAnsi="Times New Roman"/>
          <w:sz w:val="28"/>
        </w:rPr>
        <w:t>согласно приложению к настоящему постановлению</w:t>
      </w:r>
      <w:r>
        <w:rPr>
          <w:rFonts w:ascii="Times New Roman" w:hAnsi="Times New Roman"/>
          <w:sz w:val="28"/>
        </w:rPr>
        <w:t>.</w:t>
      </w:r>
    </w:p>
    <w:p w14:paraId="20000000">
      <w:pPr>
        <w:spacing w:after="0" w:line="240" w:lineRule="auto"/>
        <w:ind w:firstLine="709" w:left="0"/>
        <w:jc w:val="both"/>
        <w:rPr>
          <w:rFonts w:ascii="Times New Roman" w:hAnsi="Times New Roman"/>
          <w:sz w:val="28"/>
        </w:rPr>
      </w:pPr>
      <w:r>
        <w:rPr>
          <w:rFonts w:ascii="Times New Roman" w:hAnsi="Times New Roman"/>
          <w:sz w:val="28"/>
        </w:rPr>
        <w:t xml:space="preserve">2. </w:t>
      </w:r>
      <w:r>
        <w:rPr>
          <w:rFonts w:ascii="Times New Roman" w:hAnsi="Times New Roman"/>
          <w:sz w:val="28"/>
        </w:rPr>
        <w:t xml:space="preserve"> </w:t>
      </w:r>
      <w:r>
        <w:rPr>
          <w:rFonts w:ascii="Times New Roman" w:hAnsi="Times New Roman"/>
          <w:sz w:val="28"/>
        </w:rPr>
        <w:t>С даты вступления</w:t>
      </w:r>
      <w:r>
        <w:rPr>
          <w:rFonts w:ascii="Times New Roman" w:hAnsi="Times New Roman"/>
          <w:sz w:val="28"/>
        </w:rPr>
        <w:t xml:space="preserve"> в силу настоящего постановления п</w:t>
      </w:r>
      <w:r>
        <w:rPr>
          <w:rFonts w:ascii="Times New Roman" w:hAnsi="Times New Roman"/>
          <w:sz w:val="28"/>
        </w:rPr>
        <w:t>ризнать</w:t>
      </w:r>
      <w:r>
        <w:rPr>
          <w:rFonts w:ascii="Times New Roman" w:hAnsi="Times New Roman"/>
          <w:sz w:val="28"/>
        </w:rPr>
        <w:t xml:space="preserve"> </w:t>
      </w:r>
      <w:r>
        <w:rPr>
          <w:rFonts w:ascii="Times New Roman" w:hAnsi="Times New Roman"/>
          <w:sz w:val="28"/>
        </w:rPr>
        <w:t xml:space="preserve">утратившим силу </w:t>
      </w:r>
      <w:r>
        <w:rPr>
          <w:rFonts w:ascii="Times New Roman" w:hAnsi="Times New Roman"/>
          <w:sz w:val="28"/>
        </w:rPr>
        <w:t>постановление администрации Прокопьевского муниципального округа от</w:t>
      </w:r>
      <w:r>
        <w:rPr>
          <w:rFonts w:ascii="Times New Roman" w:hAnsi="Times New Roman"/>
          <w:sz w:val="28"/>
        </w:rPr>
        <w:t xml:space="preserve"> </w:t>
      </w:r>
      <w:r>
        <w:rPr>
          <w:rFonts w:ascii="Times New Roman" w:hAnsi="Times New Roman"/>
          <w:sz w:val="28"/>
        </w:rPr>
        <w:t>20</w:t>
      </w:r>
      <w:r>
        <w:rPr>
          <w:rFonts w:ascii="Times New Roman" w:hAnsi="Times New Roman"/>
          <w:sz w:val="28"/>
        </w:rPr>
        <w:t>.06.202</w:t>
      </w:r>
      <w:r>
        <w:rPr>
          <w:rFonts w:ascii="Times New Roman" w:hAnsi="Times New Roman"/>
          <w:sz w:val="28"/>
        </w:rPr>
        <w:t>4</w:t>
      </w:r>
      <w:r>
        <w:rPr>
          <w:rFonts w:ascii="Times New Roman" w:hAnsi="Times New Roman"/>
          <w:sz w:val="28"/>
        </w:rPr>
        <w:t xml:space="preserve"> № </w:t>
      </w:r>
      <w:r>
        <w:rPr>
          <w:rFonts w:ascii="Times New Roman" w:hAnsi="Times New Roman"/>
          <w:sz w:val="28"/>
        </w:rPr>
        <w:t>76</w:t>
      </w:r>
      <w:r>
        <w:rPr>
          <w:rFonts w:ascii="Times New Roman" w:hAnsi="Times New Roman"/>
          <w:sz w:val="28"/>
        </w:rPr>
        <w:t xml:space="preserve">-п </w:t>
      </w:r>
      <w:r>
        <w:rPr>
          <w:rFonts w:ascii="Times New Roman" w:hAnsi="Times New Roman"/>
          <w:sz w:val="28"/>
        </w:rPr>
        <w:t>«</w:t>
      </w:r>
      <w:r>
        <w:rPr>
          <w:rFonts w:ascii="Times New Roman" w:hAnsi="Times New Roman"/>
          <w:sz w:val="28"/>
        </w:rPr>
        <w:t xml:space="preserve">Об утверждении порядка «Субсидирование части затрат, связанных с технологическим присоединением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r>
        <w:rPr>
          <w:rFonts w:ascii="Times New Roman" w:hAnsi="Times New Roman"/>
          <w:sz w:val="28"/>
        </w:rPr>
        <w:t>.</w:t>
      </w:r>
    </w:p>
    <w:p w14:paraId="21000000">
      <w:pPr>
        <w:spacing w:after="0" w:line="240" w:lineRule="auto"/>
        <w:ind w:firstLine="709" w:left="0"/>
        <w:jc w:val="both"/>
        <w:rPr>
          <w:rFonts w:ascii="Times New Roman" w:hAnsi="Times New Roman"/>
          <w:sz w:val="28"/>
        </w:rPr>
      </w:pPr>
      <w:r>
        <w:rPr>
          <w:rFonts w:ascii="Times New Roman" w:hAnsi="Times New Roman"/>
          <w:sz w:val="28"/>
        </w:rPr>
        <w:t>3. Настоящее постановление опубликовать в газете «Сельская новь».</w:t>
      </w:r>
    </w:p>
    <w:p w14:paraId="22000000">
      <w:pPr>
        <w:spacing w:after="0" w:line="240" w:lineRule="auto"/>
        <w:ind w:firstLine="709" w:left="0"/>
        <w:jc w:val="both"/>
        <w:rPr>
          <w:rFonts w:ascii="Times New Roman" w:hAnsi="Times New Roman"/>
          <w:sz w:val="28"/>
        </w:rPr>
      </w:pPr>
      <w:r>
        <w:rPr>
          <w:rFonts w:ascii="Times New Roman" w:hAnsi="Times New Roman"/>
          <w:sz w:val="28"/>
        </w:rPr>
        <w:t>4. Настоящее постановление вступает в силу после его официального опубликования.</w:t>
      </w:r>
    </w:p>
    <w:p w14:paraId="23000000">
      <w:pPr>
        <w:spacing w:after="0" w:line="240" w:lineRule="auto"/>
        <w:ind w:firstLine="709" w:left="0"/>
        <w:jc w:val="both"/>
        <w:rPr>
          <w:rFonts w:ascii="Times New Roman" w:hAnsi="Times New Roman"/>
          <w:sz w:val="28"/>
        </w:rPr>
      </w:pPr>
      <w:r>
        <w:rPr>
          <w:rFonts w:ascii="Times New Roman" w:hAnsi="Times New Roman"/>
          <w:sz w:val="28"/>
        </w:rPr>
        <w:t xml:space="preserve">5. </w:t>
      </w:r>
      <w:r>
        <w:rPr>
          <w:rFonts w:ascii="Times New Roman" w:hAnsi="Times New Roman"/>
          <w:sz w:val="28"/>
        </w:rPr>
        <w:t>Контроль за</w:t>
      </w:r>
      <w:r>
        <w:rPr>
          <w:rFonts w:ascii="Times New Roman" w:hAnsi="Times New Roman"/>
          <w:sz w:val="28"/>
        </w:rPr>
        <w:t xml:space="preserve"> исполнением настоящего постановления возложить на заместителя главы округа по экономике и инвестициям Зимаеву</w:t>
      </w:r>
      <w:r>
        <w:rPr>
          <w:rFonts w:ascii="Times New Roman" w:hAnsi="Times New Roman"/>
          <w:sz w:val="28"/>
        </w:rPr>
        <w:t xml:space="preserve"> </w:t>
      </w:r>
      <w:r>
        <w:rPr>
          <w:rFonts w:ascii="Times New Roman" w:hAnsi="Times New Roman"/>
          <w:sz w:val="28"/>
        </w:rPr>
        <w:t>Н.Н.</w:t>
      </w:r>
    </w:p>
    <w:p w14:paraId="24000000">
      <w:pPr>
        <w:spacing w:after="0" w:line="240" w:lineRule="auto"/>
        <w:ind w:firstLine="709" w:left="0"/>
        <w:jc w:val="both"/>
        <w:rPr>
          <w:rFonts w:ascii="Times New Roman" w:hAnsi="Times New Roman"/>
          <w:sz w:val="28"/>
        </w:rPr>
      </w:pPr>
    </w:p>
    <w:p w14:paraId="25000000">
      <w:pPr>
        <w:spacing w:after="0" w:line="240" w:lineRule="auto"/>
        <w:ind w:firstLine="709" w:left="0"/>
        <w:jc w:val="both"/>
        <w:rPr>
          <w:rFonts w:ascii="Times New Roman" w:hAnsi="Times New Roman"/>
          <w:sz w:val="28"/>
        </w:rPr>
      </w:pPr>
    </w:p>
    <w:tbl>
      <w:tblPr>
        <w:tblStyle w:val="Style_3"/>
        <w:tblW w:type="auto" w:w="0"/>
        <w:tblLayout w:type="fixed"/>
      </w:tblPr>
      <w:tblGrid>
        <w:gridCol w:w="10105"/>
        <w:gridCol w:w="10105"/>
      </w:tblGrid>
      <w:tr>
        <w:tc>
          <w:tcPr>
            <w:tcW w:type="dxa" w:w="10105"/>
          </w:tcPr>
          <w:tbl>
            <w:tblPr>
              <w:tblStyle w:val="Style_3"/>
              <w:tblW w:type="auto" w:w="0"/>
              <w:tblLayout w:type="fixed"/>
            </w:tblPr>
            <w:tblGrid>
              <w:gridCol w:w="4774"/>
              <w:gridCol w:w="5115"/>
            </w:tblGrid>
            <w:tr>
              <w:tc>
                <w:tcPr>
                  <w:tcW w:type="dxa" w:w="4774"/>
                </w:tcPr>
                <w:p w14:paraId="26000000">
                  <w:pPr>
                    <w:spacing w:after="0" w:line="240" w:lineRule="auto"/>
                    <w:ind/>
                    <w:rPr>
                      <w:rFonts w:ascii="Times New Roman" w:hAnsi="Times New Roman"/>
                      <w:sz w:val="28"/>
                    </w:rPr>
                  </w:pPr>
                  <w:r>
                    <w:rPr>
                      <w:rFonts w:ascii="Times New Roman" w:hAnsi="Times New Roman"/>
                      <w:sz w:val="28"/>
                    </w:rPr>
                    <w:t>Глава Прокопьевского</w:t>
                  </w:r>
                </w:p>
                <w:p w14:paraId="27000000">
                  <w:pPr>
                    <w:spacing w:after="0" w:line="240" w:lineRule="auto"/>
                    <w:ind/>
                    <w:rPr>
                      <w:rFonts w:ascii="Times New Roman" w:hAnsi="Times New Roman"/>
                      <w:sz w:val="28"/>
                    </w:rPr>
                  </w:pPr>
                  <w:r>
                    <w:rPr>
                      <w:rFonts w:ascii="Times New Roman" w:hAnsi="Times New Roman"/>
                      <w:sz w:val="28"/>
                    </w:rPr>
                    <w:t>муниципального округа</w:t>
                  </w:r>
                </w:p>
              </w:tc>
              <w:tc>
                <w:tcPr>
                  <w:tcW w:type="dxa" w:w="5115"/>
                </w:tcPr>
                <w:p w14:paraId="28000000">
                  <w:pPr>
                    <w:spacing w:after="0" w:line="240" w:lineRule="auto"/>
                    <w:ind/>
                    <w:jc w:val="right"/>
                    <w:rPr>
                      <w:rFonts w:ascii="Times New Roman" w:hAnsi="Times New Roman"/>
                      <w:sz w:val="28"/>
                    </w:rPr>
                  </w:pPr>
                </w:p>
                <w:p w14:paraId="29000000">
                  <w:pPr>
                    <w:spacing w:after="0" w:line="240" w:lineRule="auto"/>
                    <w:ind/>
                    <w:jc w:val="center"/>
                    <w:rPr>
                      <w:rFonts w:ascii="Times New Roman" w:hAnsi="Times New Roman"/>
                      <w:sz w:val="28"/>
                    </w:rPr>
                  </w:pPr>
                  <w:r>
                    <w:rPr>
                      <w:rFonts w:ascii="Times New Roman" w:hAnsi="Times New Roman"/>
                      <w:sz w:val="28"/>
                    </w:rPr>
                    <w:t xml:space="preserve">                                      Н.Г. Шабалина</w:t>
                  </w:r>
                </w:p>
              </w:tc>
            </w:tr>
          </w:tbl>
          <w:p w14:paraId="2A000000"/>
        </w:tc>
        <w:tc>
          <w:tcPr>
            <w:tcW w:type="dxa" w:w="10105"/>
          </w:tcPr>
          <w:tbl>
            <w:tblPr>
              <w:tblStyle w:val="Style_3"/>
              <w:tblW w:type="auto" w:w="0"/>
              <w:tblLayout w:type="fixed"/>
            </w:tblPr>
            <w:tblGrid>
              <w:gridCol w:w="4774"/>
              <w:gridCol w:w="5115"/>
            </w:tblGrid>
            <w:tr>
              <w:tc>
                <w:tcPr>
                  <w:tcW w:type="dxa" w:w="4774"/>
                </w:tcPr>
                <w:p w14:paraId="2B000000">
                  <w:pPr>
                    <w:spacing w:after="0" w:line="240" w:lineRule="auto"/>
                    <w:ind/>
                    <w:rPr>
                      <w:rFonts w:ascii="Times New Roman" w:hAnsi="Times New Roman"/>
                      <w:sz w:val="28"/>
                    </w:rPr>
                  </w:pPr>
                  <w:r>
                    <w:rPr>
                      <w:rFonts w:ascii="Times New Roman" w:hAnsi="Times New Roman"/>
                      <w:sz w:val="28"/>
                    </w:rPr>
                    <w:t>И.о</w:t>
                  </w:r>
                  <w:r>
                    <w:rPr>
                      <w:rFonts w:ascii="Times New Roman" w:hAnsi="Times New Roman"/>
                      <w:sz w:val="28"/>
                    </w:rPr>
                    <w:t>. главы Прокопьевского</w:t>
                  </w:r>
                </w:p>
                <w:p w14:paraId="2C000000">
                  <w:pPr>
                    <w:spacing w:after="0" w:line="240" w:lineRule="auto"/>
                    <w:ind/>
                    <w:rPr>
                      <w:rFonts w:ascii="Times New Roman" w:hAnsi="Times New Roman"/>
                      <w:sz w:val="28"/>
                    </w:rPr>
                  </w:pPr>
                  <w:r>
                    <w:rPr>
                      <w:rFonts w:ascii="Times New Roman" w:hAnsi="Times New Roman"/>
                      <w:sz w:val="28"/>
                    </w:rPr>
                    <w:t>муниципального округа</w:t>
                  </w:r>
                </w:p>
              </w:tc>
              <w:tc>
                <w:tcPr>
                  <w:tcW w:type="dxa" w:w="5115"/>
                </w:tcPr>
                <w:p w14:paraId="2D000000">
                  <w:pPr>
                    <w:spacing w:after="0" w:line="240" w:lineRule="auto"/>
                    <w:ind/>
                    <w:jc w:val="right"/>
                    <w:rPr>
                      <w:rFonts w:ascii="Times New Roman" w:hAnsi="Times New Roman"/>
                      <w:sz w:val="28"/>
                    </w:rPr>
                  </w:pPr>
                </w:p>
                <w:p w14:paraId="2E000000">
                  <w:pPr>
                    <w:spacing w:after="0" w:line="240" w:lineRule="auto"/>
                    <w:ind/>
                    <w:jc w:val="center"/>
                    <w:rPr>
                      <w:rFonts w:ascii="Times New Roman" w:hAnsi="Times New Roman"/>
                      <w:sz w:val="28"/>
                    </w:rPr>
                  </w:pPr>
                  <w:r>
                    <w:rPr>
                      <w:rFonts w:ascii="Times New Roman" w:hAnsi="Times New Roman"/>
                      <w:sz w:val="28"/>
                    </w:rPr>
                    <w:t xml:space="preserve">                                К.А. </w:t>
                  </w:r>
                  <w:r>
                    <w:rPr>
                      <w:rFonts w:ascii="Times New Roman" w:hAnsi="Times New Roman"/>
                      <w:sz w:val="28"/>
                    </w:rPr>
                    <w:t>Краморов</w:t>
                  </w:r>
                </w:p>
              </w:tc>
            </w:tr>
          </w:tbl>
          <w:p w14:paraId="2F000000"/>
        </w:tc>
      </w:tr>
    </w:tbl>
    <w:p w14:paraId="30000000"/>
    <w:p w14:paraId="31000000">
      <w:r>
        <w:br w:type="page"/>
      </w:r>
    </w:p>
    <w:p w14:paraId="32000000">
      <w:pPr>
        <w:widowControl w:val="0"/>
        <w:spacing w:after="0" w:line="240" w:lineRule="auto"/>
        <w:ind/>
        <w:jc w:val="right"/>
        <w:outlineLvl w:val="0"/>
        <w:rPr>
          <w:rFonts w:ascii="Times New Roman" w:hAnsi="Times New Roman"/>
          <w:sz w:val="28"/>
        </w:rPr>
      </w:pPr>
      <w:r>
        <w:rPr>
          <w:rFonts w:ascii="Times New Roman" w:hAnsi="Times New Roman"/>
          <w:sz w:val="28"/>
        </w:rPr>
        <w:t>Приложение</w:t>
      </w:r>
    </w:p>
    <w:p w14:paraId="33000000">
      <w:pPr>
        <w:widowControl w:val="0"/>
        <w:spacing w:after="0" w:line="240" w:lineRule="auto"/>
        <w:ind w:firstLine="851" w:left="0"/>
        <w:jc w:val="right"/>
        <w:rPr>
          <w:rFonts w:ascii="Times New Roman" w:hAnsi="Times New Roman"/>
          <w:sz w:val="28"/>
        </w:rPr>
      </w:pPr>
      <w:r>
        <w:rPr>
          <w:rFonts w:ascii="Times New Roman" w:hAnsi="Times New Roman"/>
          <w:sz w:val="28"/>
        </w:rPr>
        <w:t>к постановлению администрации</w:t>
      </w:r>
    </w:p>
    <w:p w14:paraId="34000000">
      <w:pPr>
        <w:widowControl w:val="0"/>
        <w:spacing w:after="0" w:line="240" w:lineRule="auto"/>
        <w:ind w:firstLine="851" w:left="0"/>
        <w:jc w:val="right"/>
        <w:rPr>
          <w:rFonts w:ascii="Times New Roman" w:hAnsi="Times New Roman"/>
          <w:sz w:val="28"/>
        </w:rPr>
      </w:pPr>
      <w:r>
        <w:rPr>
          <w:rFonts w:ascii="Times New Roman" w:hAnsi="Times New Roman"/>
          <w:sz w:val="28"/>
        </w:rPr>
        <w:t>Прокопьевского муниципального округа</w:t>
      </w:r>
    </w:p>
    <w:p w14:paraId="35000000">
      <w:pPr>
        <w:spacing w:after="0" w:line="240" w:lineRule="auto"/>
        <w:ind/>
        <w:outlineLvl w:val="2"/>
        <w:rPr>
          <w:rFonts w:ascii="Times New Roman" w:hAnsi="Times New Roman"/>
          <w:sz w:val="28"/>
        </w:rPr>
      </w:pPr>
      <w:r>
        <w:rPr>
          <w:rFonts w:ascii="Times New Roman" w:hAnsi="Times New Roman"/>
          <w:sz w:val="28"/>
        </w:rPr>
        <w:t xml:space="preserve">                                                                                       от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-п</w:t>
      </w:r>
    </w:p>
    <w:p w14:paraId="36000000">
      <w:pPr>
        <w:tabs>
          <w:tab w:leader="none" w:pos="14601" w:val="left"/>
        </w:tabs>
        <w:spacing w:after="0" w:line="240" w:lineRule="auto"/>
        <w:ind w:firstLine="851" w:left="0"/>
        <w:jc w:val="center"/>
        <w:rPr>
          <w:rFonts w:ascii="Times New Roman" w:hAnsi="Times New Roman"/>
          <w:sz w:val="24"/>
        </w:rPr>
      </w:pPr>
    </w:p>
    <w:p w14:paraId="37000000">
      <w:pPr>
        <w:tabs>
          <w:tab w:leader="none" w:pos="14601" w:val="left"/>
        </w:tabs>
        <w:spacing w:after="0" w:line="240" w:lineRule="auto"/>
        <w:ind w:firstLine="851" w:left="0"/>
        <w:jc w:val="center"/>
        <w:rPr>
          <w:rFonts w:ascii="Times New Roman" w:hAnsi="Times New Roman"/>
          <w:sz w:val="24"/>
        </w:rPr>
      </w:pPr>
    </w:p>
    <w:p w14:paraId="38000000">
      <w:pPr>
        <w:spacing w:after="0" w:line="240" w:lineRule="auto"/>
        <w:ind/>
        <w:jc w:val="center"/>
        <w:rPr>
          <w:rFonts w:ascii="Times New Roman" w:hAnsi="Times New Roman"/>
          <w:b w:val="1"/>
          <w:sz w:val="28"/>
        </w:rPr>
      </w:pPr>
      <w:r>
        <w:rPr>
          <w:rFonts w:ascii="Times New Roman" w:hAnsi="Times New Roman"/>
          <w:b w:val="1"/>
          <w:sz w:val="28"/>
        </w:rPr>
        <w:t>ПОРЯДОК</w:t>
      </w:r>
    </w:p>
    <w:p w14:paraId="39000000">
      <w:pPr>
        <w:spacing w:after="0" w:line="240" w:lineRule="auto"/>
        <w:ind/>
        <w:jc w:val="center"/>
        <w:rPr>
          <w:rFonts w:ascii="Times New Roman" w:hAnsi="Times New Roman"/>
          <w:b w:val="1"/>
          <w:sz w:val="28"/>
        </w:rPr>
      </w:pPr>
      <w:r>
        <w:rPr>
          <w:rFonts w:ascii="Times New Roman" w:hAnsi="Times New Roman"/>
          <w:b w:val="1"/>
          <w:sz w:val="28"/>
        </w:rPr>
        <w:t>«</w:t>
      </w:r>
      <w:r>
        <w:rPr>
          <w:rFonts w:ascii="Times New Roman" w:hAnsi="Times New Roman"/>
          <w:b w:val="1"/>
          <w:sz w:val="28"/>
        </w:rPr>
        <w:t xml:space="preserve">Субсидирование части затрат, связанных </w:t>
      </w:r>
      <w:r>
        <w:rPr>
          <w:rFonts w:ascii="Times New Roman" w:hAnsi="Times New Roman"/>
          <w:b w:val="1"/>
          <w:sz w:val="28"/>
        </w:rPr>
        <w:t>с</w:t>
      </w:r>
      <w:r>
        <w:rPr>
          <w:rFonts w:ascii="Times New Roman" w:hAnsi="Times New Roman"/>
          <w:b w:val="1"/>
          <w:sz w:val="28"/>
        </w:rPr>
        <w:t xml:space="preserve"> </w:t>
      </w:r>
    </w:p>
    <w:p w14:paraId="3A000000">
      <w:pPr>
        <w:spacing w:after="0" w:line="240" w:lineRule="auto"/>
        <w:ind/>
        <w:jc w:val="center"/>
        <w:rPr>
          <w:rFonts w:ascii="Times New Roman" w:hAnsi="Times New Roman"/>
          <w:b w:val="1"/>
          <w:sz w:val="28"/>
        </w:rPr>
      </w:pPr>
      <w:r>
        <w:rPr>
          <w:rFonts w:ascii="Times New Roman" w:hAnsi="Times New Roman"/>
          <w:b w:val="1"/>
          <w:sz w:val="28"/>
        </w:rPr>
        <w:t xml:space="preserve">технологическим присоединением </w:t>
      </w:r>
      <w:r>
        <w:rPr>
          <w:rFonts w:ascii="Times New Roman" w:hAnsi="Times New Roman"/>
          <w:b w:val="1"/>
          <w:sz w:val="28"/>
        </w:rPr>
        <w:t>энергопринимающих</w:t>
      </w:r>
      <w:r>
        <w:rPr>
          <w:rFonts w:ascii="Times New Roman" w:hAnsi="Times New Roman"/>
          <w:b w:val="1"/>
          <w:sz w:val="28"/>
        </w:rPr>
        <w:t xml:space="preserve"> </w:t>
      </w:r>
    </w:p>
    <w:p w14:paraId="3B000000">
      <w:pPr>
        <w:spacing w:after="0" w:line="240" w:lineRule="auto"/>
        <w:ind/>
        <w:jc w:val="center"/>
        <w:rPr>
          <w:rFonts w:ascii="Times New Roman" w:hAnsi="Times New Roman"/>
          <w:b w:val="1"/>
          <w:sz w:val="28"/>
        </w:rPr>
      </w:pPr>
      <w:r>
        <w:rPr>
          <w:rFonts w:ascii="Times New Roman" w:hAnsi="Times New Roman"/>
          <w:b w:val="1"/>
          <w:sz w:val="28"/>
        </w:rPr>
        <w:t>устройств к электрическим сетям</w:t>
      </w:r>
      <w:r>
        <w:rPr>
          <w:rFonts w:ascii="Times New Roman" w:hAnsi="Times New Roman"/>
          <w:b w:val="1"/>
          <w:sz w:val="28"/>
        </w:rPr>
        <w:t>»</w:t>
      </w:r>
    </w:p>
    <w:p w14:paraId="3C000000">
      <w:pPr>
        <w:spacing w:after="0" w:line="240" w:lineRule="auto"/>
        <w:ind/>
        <w:jc w:val="center"/>
        <w:rPr>
          <w:rFonts w:ascii="Times New Roman" w:hAnsi="Times New Roman"/>
          <w:b w:val="1"/>
          <w:sz w:val="28"/>
        </w:rPr>
      </w:pPr>
    </w:p>
    <w:p w14:paraId="3D000000">
      <w:pPr>
        <w:spacing w:after="0" w:line="240" w:lineRule="auto"/>
        <w:ind/>
        <w:jc w:val="center"/>
        <w:rPr>
          <w:rFonts w:ascii="Times New Roman" w:hAnsi="Times New Roman"/>
          <w:b w:val="1"/>
          <w:sz w:val="28"/>
        </w:rPr>
      </w:pPr>
      <w:r>
        <w:rPr>
          <w:rFonts w:ascii="Times New Roman" w:hAnsi="Times New Roman"/>
          <w:b w:val="1"/>
          <w:sz w:val="28"/>
        </w:rPr>
        <w:t>1. Общие положения</w:t>
      </w:r>
    </w:p>
    <w:p w14:paraId="3E000000">
      <w:pPr>
        <w:spacing w:after="0" w:line="240" w:lineRule="auto"/>
        <w:ind/>
        <w:jc w:val="center"/>
        <w:rPr>
          <w:rFonts w:ascii="Times New Roman" w:hAnsi="Times New Roman"/>
          <w:b w:val="1"/>
          <w:sz w:val="28"/>
        </w:rPr>
      </w:pPr>
    </w:p>
    <w:p w14:paraId="3F000000">
      <w:pPr>
        <w:pStyle w:val="Style_4"/>
        <w:numPr>
          <w:ilvl w:val="1"/>
          <w:numId w:val="1"/>
        </w:numPr>
        <w:ind w:firstLine="709" w:left="0"/>
        <w:jc w:val="both"/>
        <w:rPr>
          <w:sz w:val="28"/>
        </w:rPr>
      </w:pPr>
      <w:r>
        <w:rPr>
          <w:sz w:val="28"/>
        </w:rPr>
        <w:t>Настоящий порядок</w:t>
      </w:r>
      <w:r>
        <w:rPr>
          <w:sz w:val="28"/>
        </w:rPr>
        <w:t xml:space="preserve"> </w:t>
      </w:r>
      <w:r>
        <w:rPr>
          <w:sz w:val="28"/>
        </w:rPr>
        <w:t xml:space="preserve">«Субсидирование части затрат, связанных с технологическим присоединением </w:t>
      </w:r>
      <w:r>
        <w:rPr>
          <w:sz w:val="28"/>
        </w:rPr>
        <w:t>энергопринимающих</w:t>
      </w:r>
      <w:r>
        <w:rPr>
          <w:sz w:val="28"/>
        </w:rPr>
        <w:t xml:space="preserve"> устройств к электрическим сетям»</w:t>
      </w:r>
      <w:r>
        <w:rPr>
          <w:sz w:val="28"/>
        </w:rPr>
        <w:t xml:space="preserve"> </w:t>
      </w:r>
      <w:r>
        <w:rPr>
          <w:sz w:val="28"/>
        </w:rPr>
        <w:t xml:space="preserve">(далее - Порядок) </w:t>
      </w:r>
      <w:r>
        <w:rPr>
          <w:sz w:val="28"/>
        </w:rPr>
        <w:t>определяет</w:t>
      </w:r>
      <w:r>
        <w:rPr>
          <w:sz w:val="28"/>
        </w:rPr>
        <w:t xml:space="preserve"> общие требования к условиям, цели и порядку предоставления из местного бюджета Прокопьевского муниципального округа субсидий юридическим лицам, индивидуальным предпринимателям – производителям товаров, работ, услуг и проведение отборов получателей указанных субсидий </w:t>
      </w:r>
      <w:r>
        <w:rPr>
          <w:sz w:val="28"/>
        </w:rPr>
        <w:t>(далее – субсидия)</w:t>
      </w:r>
      <w:r>
        <w:rPr>
          <w:sz w:val="28"/>
        </w:rPr>
        <w:t>.</w:t>
      </w:r>
    </w:p>
    <w:p w14:paraId="40000000">
      <w:pPr>
        <w:pStyle w:val="Style_4"/>
        <w:numPr>
          <w:ilvl w:val="1"/>
          <w:numId w:val="1"/>
        </w:numPr>
        <w:ind w:firstLine="709" w:left="0"/>
        <w:jc w:val="both"/>
        <w:rPr>
          <w:sz w:val="28"/>
        </w:rPr>
      </w:pPr>
      <w:r>
        <w:rPr>
          <w:sz w:val="28"/>
        </w:rPr>
        <w:t>Основные понятия, используемые в настоящем Порядке:</w:t>
      </w:r>
    </w:p>
    <w:p w14:paraId="41000000">
      <w:pPr>
        <w:spacing w:after="0" w:line="240" w:lineRule="auto"/>
        <w:ind w:firstLine="709" w:left="0"/>
        <w:jc w:val="both"/>
        <w:rPr>
          <w:rFonts w:ascii="Times New Roman" w:hAnsi="Times New Roman"/>
          <w:sz w:val="28"/>
        </w:rPr>
      </w:pPr>
      <w:r>
        <w:rPr>
          <w:rFonts w:ascii="Times New Roman" w:hAnsi="Times New Roman"/>
          <w:sz w:val="28"/>
        </w:rPr>
        <w:t>1.2. Для целей настоящего Порядка используются следующие понятия:</w:t>
      </w:r>
    </w:p>
    <w:p w14:paraId="42000000">
      <w:pPr>
        <w:spacing w:after="0" w:line="240" w:lineRule="auto"/>
        <w:ind w:firstLine="709" w:left="0"/>
        <w:jc w:val="both"/>
        <w:rPr>
          <w:rFonts w:ascii="Times New Roman" w:hAnsi="Times New Roman"/>
          <w:sz w:val="28"/>
        </w:rPr>
      </w:pPr>
      <w:r>
        <w:rPr>
          <w:rFonts w:ascii="Times New Roman" w:hAnsi="Times New Roman"/>
          <w:sz w:val="28"/>
        </w:rPr>
        <w:t>субсидия - денежные средства, предоставляемые на конкурсной основе получателю субсидии, в соответствии с условиями настоящего Порядка;</w:t>
      </w:r>
    </w:p>
    <w:p w14:paraId="43000000">
      <w:pPr>
        <w:spacing w:after="0" w:line="240" w:lineRule="auto"/>
        <w:ind w:firstLine="709" w:left="0"/>
        <w:jc w:val="both"/>
        <w:rPr>
          <w:rFonts w:ascii="Times New Roman" w:hAnsi="Times New Roman"/>
          <w:sz w:val="28"/>
        </w:rPr>
      </w:pPr>
      <w:r>
        <w:rPr>
          <w:rFonts w:ascii="Times New Roman" w:hAnsi="Times New Roman"/>
          <w:sz w:val="28"/>
        </w:rPr>
        <w:t>конкурс - способ проведения отбора в соответствии с требованиями пункта 4.1 настоящего Порядка;</w:t>
      </w:r>
    </w:p>
    <w:p w14:paraId="44000000">
      <w:pPr>
        <w:spacing w:after="0" w:line="240" w:lineRule="auto"/>
        <w:ind w:firstLine="709" w:left="0"/>
        <w:jc w:val="both"/>
        <w:rPr>
          <w:rFonts w:ascii="Times New Roman" w:hAnsi="Times New Roman"/>
          <w:sz w:val="28"/>
        </w:rPr>
      </w:pPr>
      <w:r>
        <w:rPr>
          <w:rFonts w:ascii="Times New Roman" w:hAnsi="Times New Roman"/>
          <w:sz w:val="28"/>
        </w:rPr>
        <w:t>организатор конкурса - орган, на который возложены функции по организации и проведению отбора претендентов на получение субсидии, указанный в пункте 4.2 настоящего Порядка;</w:t>
      </w:r>
    </w:p>
    <w:p w14:paraId="45000000">
      <w:pPr>
        <w:spacing w:after="0" w:line="240" w:lineRule="auto"/>
        <w:ind w:firstLine="709" w:left="0"/>
        <w:jc w:val="both"/>
        <w:rPr>
          <w:rFonts w:ascii="Times New Roman" w:hAnsi="Times New Roman"/>
          <w:sz w:val="28"/>
        </w:rPr>
      </w:pPr>
      <w:r>
        <w:rPr>
          <w:rFonts w:ascii="Times New Roman" w:hAnsi="Times New Roman"/>
          <w:sz w:val="28"/>
        </w:rPr>
        <w:t xml:space="preserve">претенденты на получение </w:t>
      </w:r>
      <w:r>
        <w:rPr>
          <w:rFonts w:ascii="Times New Roman" w:hAnsi="Times New Roman"/>
          <w:sz w:val="28"/>
        </w:rPr>
        <w:t>субсидии</w:t>
      </w:r>
      <w:r>
        <w:rPr>
          <w:rFonts w:ascii="Times New Roman" w:hAnsi="Times New Roman"/>
          <w:sz w:val="28"/>
        </w:rPr>
        <w:t xml:space="preserve"> (далее - претенденты) – </w:t>
      </w:r>
      <w:r>
        <w:rPr>
          <w:rFonts w:ascii="Times New Roman" w:hAnsi="Times New Roman"/>
          <w:sz w:val="28"/>
        </w:rPr>
        <w:t xml:space="preserve">субъекты малого и среднего предпринимательства, </w:t>
      </w:r>
      <w:r>
        <w:rPr>
          <w:rFonts w:ascii="Times New Roman" w:hAnsi="Times New Roman"/>
          <w:sz w:val="28"/>
        </w:rPr>
        <w:t>зарегистрированные и действующие на территории Прокопьевского муниципального округа</w:t>
      </w:r>
      <w:r>
        <w:rPr>
          <w:rFonts w:ascii="Times New Roman" w:hAnsi="Times New Roman"/>
          <w:sz w:val="28"/>
        </w:rPr>
        <w:t>,</w:t>
      </w:r>
      <w:r>
        <w:rPr>
          <w:rFonts w:ascii="Times New Roman" w:hAnsi="Times New Roman"/>
          <w:sz w:val="28"/>
        </w:rPr>
        <w:t xml:space="preserve"> </w:t>
      </w:r>
      <w:r>
        <w:rPr>
          <w:rFonts w:ascii="Times New Roman" w:hAnsi="Times New Roman"/>
          <w:sz w:val="28"/>
        </w:rPr>
        <w:t>определенные в соответствии со статьей 4 Федерального закона от 24</w:t>
      </w:r>
      <w:r>
        <w:rPr>
          <w:rFonts w:ascii="Times New Roman" w:hAnsi="Times New Roman"/>
          <w:sz w:val="28"/>
        </w:rPr>
        <w:t>.07.</w:t>
      </w:r>
      <w:r>
        <w:rPr>
          <w:rFonts w:ascii="Times New Roman" w:hAnsi="Times New Roman"/>
          <w:sz w:val="28"/>
        </w:rPr>
        <w:t>2007 г. № 209-ФЗ «О развитии малого и среднего предпринимательства в Российской Федерации»</w:t>
      </w:r>
      <w:r>
        <w:rPr>
          <w:rFonts w:ascii="Times New Roman" w:hAnsi="Times New Roman"/>
          <w:sz w:val="28"/>
        </w:rPr>
        <w:t>;</w:t>
      </w:r>
      <w:r>
        <w:rPr>
          <w:rFonts w:ascii="Times New Roman" w:hAnsi="Times New Roman"/>
          <w:sz w:val="28"/>
        </w:rPr>
        <w:t xml:space="preserve"> </w:t>
      </w:r>
    </w:p>
    <w:p w14:paraId="46000000">
      <w:pPr>
        <w:spacing w:after="0" w:line="240" w:lineRule="auto"/>
        <w:ind w:firstLine="709" w:left="0"/>
        <w:jc w:val="both"/>
        <w:rPr>
          <w:rFonts w:ascii="Times New Roman" w:hAnsi="Times New Roman"/>
          <w:sz w:val="28"/>
        </w:rPr>
      </w:pPr>
      <w:r>
        <w:rPr>
          <w:rFonts w:ascii="Times New Roman" w:hAnsi="Times New Roman"/>
          <w:sz w:val="28"/>
        </w:rPr>
        <w:t>получатель субсидии - претендент, прошедший отбор в соответствии с пунктом 4.1. настоящего Порядка и заключивший соглашение о предоставлении субсидии (далее - соглашение) в соответствии с пунктом 2.8. настоящего Порядка;</w:t>
      </w:r>
    </w:p>
    <w:p w14:paraId="47000000">
      <w:pPr>
        <w:spacing w:after="0" w:line="240" w:lineRule="auto"/>
        <w:ind w:firstLine="709" w:left="0"/>
        <w:jc w:val="both"/>
        <w:rPr>
          <w:rFonts w:ascii="Times New Roman" w:hAnsi="Times New Roman"/>
          <w:sz w:val="28"/>
        </w:rPr>
      </w:pPr>
      <w:r>
        <w:rPr>
          <w:rFonts w:ascii="Times New Roman" w:hAnsi="Times New Roman"/>
          <w:sz w:val="28"/>
        </w:rPr>
        <w:t>победители конкурса - юридические лица, индивидуальные предприниматели, определенные победителями конкурса решением конкурсной комиссии;</w:t>
      </w:r>
    </w:p>
    <w:p w14:paraId="48000000">
      <w:pPr>
        <w:spacing w:after="0" w:line="240" w:lineRule="auto"/>
        <w:ind w:firstLine="709" w:left="0"/>
        <w:jc w:val="both"/>
        <w:rPr>
          <w:rFonts w:ascii="Times New Roman" w:hAnsi="Times New Roman"/>
          <w:sz w:val="28"/>
        </w:rPr>
      </w:pPr>
      <w:r>
        <w:rPr>
          <w:rFonts w:ascii="Times New Roman" w:hAnsi="Times New Roman"/>
          <w:sz w:val="28"/>
        </w:rPr>
        <w:t xml:space="preserve">конкурсная комиссия – комиссия по проведению конкурсного отбора в целях оказания поддержки субъектам малого и среднего </w:t>
      </w:r>
      <w:r>
        <w:rPr>
          <w:rFonts w:ascii="Times New Roman" w:hAnsi="Times New Roman"/>
          <w:sz w:val="28"/>
        </w:rPr>
        <w:t>предпринимательства администрации Прокопьевского муниципального округа;</w:t>
      </w:r>
    </w:p>
    <w:p w14:paraId="49000000">
      <w:pPr>
        <w:spacing w:after="0" w:line="240" w:lineRule="auto"/>
        <w:ind w:firstLine="709" w:left="0"/>
        <w:jc w:val="both"/>
        <w:rPr>
          <w:rFonts w:ascii="Times New Roman" w:hAnsi="Times New Roman"/>
          <w:sz w:val="28"/>
        </w:rPr>
      </w:pPr>
      <w:r>
        <w:rPr>
          <w:rFonts w:ascii="Times New Roman" w:hAnsi="Times New Roman"/>
          <w:sz w:val="28"/>
        </w:rPr>
        <w:t>отчетный период - отчетными периодами признаются квартал, полугодие, девять месяцев календарного года, календарный год.</w:t>
      </w:r>
    </w:p>
    <w:p w14:paraId="4A000000">
      <w:pPr>
        <w:spacing w:after="0" w:line="240" w:lineRule="auto"/>
        <w:ind w:firstLine="709" w:left="0"/>
        <w:jc w:val="both"/>
        <w:rPr>
          <w:rFonts w:ascii="Times New Roman" w:hAnsi="Times New Roman"/>
          <w:sz w:val="28"/>
        </w:rPr>
      </w:pPr>
      <w:r>
        <w:rPr>
          <w:rFonts w:ascii="Times New Roman" w:hAnsi="Times New Roman"/>
          <w:sz w:val="28"/>
        </w:rPr>
        <w:t xml:space="preserve">1.3. </w:t>
      </w:r>
      <w:r>
        <w:rPr>
          <w:rFonts w:ascii="Times New Roman" w:hAnsi="Times New Roman"/>
          <w:sz w:val="28"/>
        </w:rPr>
        <w:t xml:space="preserve">Целью предоставления </w:t>
      </w:r>
      <w:r>
        <w:rPr>
          <w:rFonts w:ascii="Times New Roman" w:hAnsi="Times New Roman"/>
          <w:sz w:val="28"/>
        </w:rPr>
        <w:t>субсидии</w:t>
      </w:r>
      <w:r>
        <w:rPr>
          <w:rFonts w:ascii="Times New Roman" w:hAnsi="Times New Roman"/>
          <w:sz w:val="28"/>
        </w:rPr>
        <w:t xml:space="preserve"> является</w:t>
      </w:r>
      <w:r>
        <w:rPr>
          <w:rFonts w:ascii="Times New Roman" w:hAnsi="Times New Roman"/>
          <w:sz w:val="28"/>
        </w:rPr>
        <w:t xml:space="preserve"> </w:t>
      </w:r>
      <w:r>
        <w:rPr>
          <w:rFonts w:ascii="Times New Roman" w:hAnsi="Times New Roman"/>
          <w:sz w:val="28"/>
        </w:rPr>
        <w:t>субсидирование произведенных затрат претендента</w:t>
      </w:r>
      <w:r>
        <w:rPr>
          <w:rFonts w:ascii="Times New Roman" w:hAnsi="Times New Roman"/>
          <w:sz w:val="28"/>
        </w:rPr>
        <w:t xml:space="preserve">, связанных с технологическим присоединением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 для устойчивого функционирования и развития предприятия,</w:t>
      </w:r>
      <w:r>
        <w:rPr>
          <w:rFonts w:ascii="Times New Roman" w:hAnsi="Times New Roman"/>
          <w:sz w:val="28"/>
        </w:rPr>
        <w:t xml:space="preserve"> </w:t>
      </w:r>
      <w:r>
        <w:rPr>
          <w:rFonts w:ascii="Times New Roman" w:hAnsi="Times New Roman"/>
          <w:sz w:val="28"/>
        </w:rPr>
        <w:t>направленн</w:t>
      </w:r>
      <w:r>
        <w:rPr>
          <w:rFonts w:ascii="Times New Roman" w:hAnsi="Times New Roman"/>
          <w:sz w:val="28"/>
        </w:rPr>
        <w:t>ое</w:t>
      </w:r>
      <w:r>
        <w:rPr>
          <w:rFonts w:ascii="Times New Roman" w:hAnsi="Times New Roman"/>
          <w:sz w:val="28"/>
        </w:rPr>
        <w:t xml:space="preserve"> на достижение целей, показателей и результатов мероприятия</w:t>
      </w:r>
      <w:r>
        <w:rPr>
          <w:rFonts w:ascii="Times New Roman" w:hAnsi="Times New Roman"/>
          <w:sz w:val="28"/>
        </w:rPr>
        <w:t xml:space="preserve"> </w:t>
      </w:r>
      <w:r>
        <w:rPr>
          <w:rFonts w:ascii="Times New Roman" w:hAnsi="Times New Roman"/>
          <w:sz w:val="28"/>
        </w:rPr>
        <w:t xml:space="preserve">«Субсидирование части затрат, связанных с технологическим присоединением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r>
        <w:rPr>
          <w:rFonts w:ascii="Times New Roman" w:hAnsi="Times New Roman"/>
          <w:sz w:val="28"/>
        </w:rPr>
        <w:t xml:space="preserve"> </w:t>
      </w:r>
      <w:r>
        <w:rPr>
          <w:rFonts w:ascii="Times New Roman" w:hAnsi="Times New Roman"/>
          <w:sz w:val="28"/>
        </w:rPr>
        <w:t>муниципальной программы «Развитие и поддержка субъектов малого и среднего предпринимательства в Прокопьевском муниципальном округе»</w:t>
      </w:r>
      <w:r>
        <w:rPr>
          <w:rFonts w:ascii="Times New Roman" w:hAnsi="Times New Roman"/>
          <w:sz w:val="28"/>
        </w:rPr>
        <w:t>.</w:t>
      </w:r>
    </w:p>
    <w:p w14:paraId="4B000000">
      <w:pPr>
        <w:spacing w:after="0" w:line="240" w:lineRule="auto"/>
        <w:ind w:firstLine="709" w:left="0"/>
        <w:jc w:val="both"/>
        <w:rPr>
          <w:rFonts w:ascii="Times New Roman" w:hAnsi="Times New Roman"/>
          <w:sz w:val="28"/>
        </w:rPr>
      </w:pPr>
      <w:r>
        <w:rPr>
          <w:rFonts w:ascii="Times New Roman" w:hAnsi="Times New Roman"/>
          <w:sz w:val="28"/>
        </w:rPr>
        <w:t xml:space="preserve">1.4. Главным распорядителем как получателем бюджетных средств по данному виду расходов является администрация Прокопьевского муниципального округа (далее – Администрация). </w:t>
      </w:r>
    </w:p>
    <w:p w14:paraId="4C000000">
      <w:pPr>
        <w:spacing w:after="0" w:line="240" w:lineRule="auto"/>
        <w:ind w:firstLine="709" w:left="0"/>
        <w:jc w:val="both"/>
        <w:rPr>
          <w:rFonts w:ascii="Times New Roman" w:hAnsi="Times New Roman"/>
          <w:sz w:val="28"/>
        </w:rPr>
      </w:pPr>
      <w:r>
        <w:rPr>
          <w:rFonts w:ascii="Times New Roman" w:hAnsi="Times New Roman"/>
          <w:sz w:val="28"/>
        </w:rPr>
        <w:t>Субсидии</w:t>
      </w:r>
      <w:r>
        <w:rPr>
          <w:rFonts w:ascii="Times New Roman" w:hAnsi="Times New Roman"/>
          <w:sz w:val="28"/>
        </w:rPr>
        <w:t xml:space="preserve">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r>
        <w:rPr>
          <w:rFonts w:ascii="Times New Roman" w:hAnsi="Times New Roman"/>
          <w:sz w:val="28"/>
        </w:rPr>
        <w:t>в</w:t>
      </w:r>
      <w:r>
        <w:rPr>
          <w:rFonts w:ascii="Times New Roman" w:hAnsi="Times New Roman"/>
          <w:sz w:val="28"/>
        </w:rPr>
        <w:t xml:space="preserve"> </w:t>
      </w:r>
      <w:r>
        <w:rPr>
          <w:rFonts w:ascii="Times New Roman" w:hAnsi="Times New Roman"/>
          <w:sz w:val="28"/>
        </w:rPr>
        <w:t>Прокопьевском</w:t>
      </w:r>
      <w:r>
        <w:rPr>
          <w:rFonts w:ascii="Times New Roman" w:hAnsi="Times New Roman"/>
          <w:sz w:val="28"/>
        </w:rPr>
        <w:t xml:space="preserve"> муниципальном округе».</w:t>
      </w:r>
    </w:p>
    <w:p w14:paraId="4D000000">
      <w:pPr>
        <w:spacing w:after="0" w:line="240" w:lineRule="auto"/>
        <w:ind w:firstLine="709" w:left="0"/>
        <w:jc w:val="both"/>
        <w:rPr>
          <w:rFonts w:ascii="Times New Roman" w:hAnsi="Times New Roman"/>
          <w:sz w:val="28"/>
        </w:rPr>
      </w:pPr>
      <w:r>
        <w:rPr>
          <w:rFonts w:ascii="Times New Roman" w:hAnsi="Times New Roman"/>
          <w:sz w:val="28"/>
        </w:rPr>
        <w:t>1.5. Способ предоставления субсидии – возмещение затрат.</w:t>
      </w:r>
    </w:p>
    <w:p w14:paraId="4E000000">
      <w:pPr>
        <w:spacing w:after="0" w:line="240" w:lineRule="auto"/>
        <w:ind w:firstLine="709" w:left="0"/>
        <w:jc w:val="both"/>
        <w:rPr>
          <w:rFonts w:ascii="Times New Roman" w:hAnsi="Times New Roman"/>
          <w:sz w:val="28"/>
        </w:rPr>
      </w:pPr>
      <w:r>
        <w:rPr>
          <w:rFonts w:ascii="Times New Roman" w:hAnsi="Times New Roman"/>
          <w:sz w:val="28"/>
        </w:rPr>
        <w:t>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4F000000">
      <w:pPr>
        <w:spacing w:after="0" w:line="240" w:lineRule="auto"/>
        <w:ind w:firstLine="709" w:left="0"/>
        <w:jc w:val="both"/>
        <w:rPr>
          <w:rFonts w:ascii="Times New Roman" w:hAnsi="Times New Roman"/>
          <w:sz w:val="28"/>
        </w:rPr>
      </w:pPr>
    </w:p>
    <w:p w14:paraId="50000000">
      <w:pPr>
        <w:spacing w:after="0" w:line="240" w:lineRule="auto"/>
        <w:ind w:firstLine="709" w:left="0"/>
        <w:jc w:val="center"/>
        <w:rPr>
          <w:rFonts w:ascii="Times New Roman" w:hAnsi="Times New Roman"/>
          <w:b w:val="1"/>
          <w:sz w:val="28"/>
        </w:rPr>
      </w:pPr>
      <w:r>
        <w:rPr>
          <w:rFonts w:ascii="Times New Roman" w:hAnsi="Times New Roman"/>
          <w:b w:val="1"/>
          <w:sz w:val="28"/>
        </w:rPr>
        <w:t>2. Условия и порядок предоставления субсидии</w:t>
      </w:r>
    </w:p>
    <w:p w14:paraId="51000000">
      <w:pPr>
        <w:spacing w:after="0" w:line="240" w:lineRule="auto"/>
        <w:ind w:firstLine="709" w:left="0"/>
        <w:jc w:val="both"/>
        <w:rPr>
          <w:rFonts w:ascii="Times New Roman" w:hAnsi="Times New Roman"/>
          <w:sz w:val="28"/>
        </w:rPr>
      </w:pPr>
    </w:p>
    <w:p w14:paraId="52000000">
      <w:pPr>
        <w:spacing w:after="0" w:line="240" w:lineRule="auto"/>
        <w:ind w:firstLine="709" w:left="0"/>
        <w:jc w:val="both"/>
        <w:rPr>
          <w:rFonts w:ascii="Times New Roman" w:hAnsi="Times New Roman"/>
          <w:sz w:val="28"/>
        </w:rPr>
      </w:pPr>
      <w:r>
        <w:rPr>
          <w:rFonts w:ascii="Times New Roman" w:hAnsi="Times New Roman"/>
          <w:sz w:val="28"/>
        </w:rPr>
        <w:t>2.1. Требования, предъявляемые к претендентам, которым должен соответствовать претендент на дату подачи заявки:</w:t>
      </w:r>
    </w:p>
    <w:p w14:paraId="53000000">
      <w:pPr>
        <w:spacing w:after="0" w:line="240" w:lineRule="auto"/>
        <w:ind w:firstLine="709" w:left="0"/>
        <w:jc w:val="both"/>
        <w:rPr>
          <w:rFonts w:ascii="Times New Roman" w:hAnsi="Times New Roman"/>
          <w:sz w:val="28"/>
        </w:rPr>
      </w:pPr>
      <w:r>
        <w:rPr>
          <w:rFonts w:ascii="Times New Roman" w:hAnsi="Times New Roman"/>
          <w:sz w:val="28"/>
        </w:rPr>
        <w:t>претендент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w:t>
      </w:r>
      <w:r>
        <w:rPr>
          <w:rFonts w:ascii="Times New Roman" w:hAnsi="Times New Roman"/>
          <w:sz w:val="28"/>
        </w:rPr>
        <w:t xml:space="preserve"> в совокупности превышает 25 процентов (если иное не предусмотрено законодательством Российской Федерации). </w:t>
      </w:r>
      <w:r>
        <w:rPr>
          <w:rFonts w:ascii="Times New Roman" w:hAnsi="Times New Roman"/>
          <w:sz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w:t>
      </w:r>
      <w:r>
        <w:rPr>
          <w:rFonts w:ascii="Times New Roman" w:hAnsi="Times New Roman"/>
          <w:sz w:val="28"/>
        </w:rPr>
        <w:t>косвенное участие офшорных компаний в капитале других российских юридических лиц, реализованное через участие в капитале указанных публичных</w:t>
      </w:r>
      <w:r>
        <w:rPr>
          <w:rFonts w:ascii="Times New Roman" w:hAnsi="Times New Roman"/>
          <w:sz w:val="28"/>
        </w:rPr>
        <w:t xml:space="preserve"> акционерных обществ;</w:t>
      </w:r>
    </w:p>
    <w:p w14:paraId="54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5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не должен получать средства из бюджета Прокопьевского муниципального округа на основании иных муниципальных правовых актов на цель, установленную пунктом 1.3. настоящего Порядка;</w:t>
      </w:r>
    </w:p>
    <w:p w14:paraId="57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 xml:space="preserve">претендент не является иностранным агентом в соответствии с Федеральным законом «О </w:t>
      </w:r>
      <w:r>
        <w:rPr>
          <w:rFonts w:ascii="Times New Roman" w:hAnsi="Times New Roman"/>
          <w:color w:themeColor="text1" w:val="000000"/>
          <w:sz w:val="28"/>
        </w:rPr>
        <w:t>контроле за</w:t>
      </w:r>
      <w:r>
        <w:rPr>
          <w:rFonts w:ascii="Times New Roman" w:hAnsi="Times New Roman"/>
          <w:color w:themeColor="text1" w:val="000000"/>
          <w:sz w:val="28"/>
        </w:rPr>
        <w:t xml:space="preserve"> деятельностью лиц, находящихся под иностранным влиянием»;</w:t>
      </w:r>
    </w:p>
    <w:p w14:paraId="58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 xml:space="preserve">у претендента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14:paraId="59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у претендента отсутствуют просроченная задолженность по возврату в бюджет Прокопьевского муниципального округа, иных субсидий, бюджетных инвестиций, а также иная просроченная (неурегулированная) задолженность по денежным обязательствам перед бюджетом Прокопьевского муниципального округа, за исключением случаев, установленных Администрацией;</w:t>
      </w:r>
    </w:p>
    <w:p w14:paraId="5A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претендента не приостановлена в порядке, предусмотренном законодательством Российской Федерации, а претендент, являющийся индивидуальным предпринимателем, не прекратил деятельность в качестве индивидуального предпринимателя;</w:t>
      </w:r>
    </w:p>
    <w:p w14:paraId="5B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об индивидуальном предпринимателе - производителе товаров, работ, услуг, являющимся претендентом;</w:t>
      </w:r>
    </w:p>
    <w:p w14:paraId="5C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 xml:space="preserve">у претендента должен быть истекшим трехлетний период </w:t>
      </w:r>
      <w:r>
        <w:rPr>
          <w:rFonts w:ascii="Times New Roman" w:hAnsi="Times New Roman"/>
          <w:color w:themeColor="text1" w:val="000000"/>
          <w:sz w:val="28"/>
        </w:rPr>
        <w:t>с даты заключения</w:t>
      </w:r>
      <w:r>
        <w:rPr>
          <w:rFonts w:ascii="Times New Roman" w:hAnsi="Times New Roman"/>
          <w:color w:themeColor="text1" w:val="000000"/>
          <w:sz w:val="28"/>
        </w:rPr>
        <w:t xml:space="preserve"> соглашения о предоставлении субсидии на цели, установленные </w:t>
      </w:r>
      <w:r>
        <w:rPr>
          <w:rFonts w:ascii="Times New Roman" w:hAnsi="Times New Roman"/>
          <w:color w:themeColor="text1" w:val="000000"/>
          <w:sz w:val="28"/>
        </w:rPr>
        <w:t>в пункте 1.3 настоящего Порядка, с условием достижения установленного соглашением результата;</w:t>
      </w:r>
    </w:p>
    <w:p w14:paraId="5D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не осуществляет деятельность по производству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деятельность по транспортировке и хранению (раздел Н «ОК 029-2014 (КДЕС</w:t>
      </w:r>
      <w:r>
        <w:rPr>
          <w:rFonts w:ascii="Times New Roman" w:hAnsi="Times New Roman"/>
          <w:color w:themeColor="text1" w:val="000000"/>
          <w:sz w:val="28"/>
        </w:rPr>
        <w:t xml:space="preserve"> Р</w:t>
      </w:r>
      <w:r>
        <w:rPr>
          <w:rFonts w:ascii="Times New Roman" w:hAnsi="Times New Roman"/>
          <w:color w:themeColor="text1" w:val="000000"/>
          <w:sz w:val="28"/>
        </w:rPr>
        <w:t xml:space="preserve">ед. 2). </w:t>
      </w:r>
      <w:r>
        <w:rPr>
          <w:rFonts w:ascii="Times New Roman" w:hAnsi="Times New Roman"/>
          <w:color w:themeColor="text1" w:val="000000"/>
          <w:sz w:val="28"/>
        </w:rPr>
        <w:t>«Общероссийский классификатор видов экономической деятельности», утвержденный Приказом Росстандарта от 31.01.2014 № 14-ст);</w:t>
      </w:r>
    </w:p>
    <w:p w14:paraId="5E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зарегистрированный и действующий на территории Прокопьевского муниципального округа</w:t>
      </w:r>
      <w:r>
        <w:rPr>
          <w:rFonts w:ascii="Times New Roman" w:hAnsi="Times New Roman"/>
          <w:color w:themeColor="text1" w:val="000000"/>
          <w:sz w:val="28"/>
        </w:rPr>
        <w:t xml:space="preserve"> </w:t>
      </w:r>
      <w:r>
        <w:rPr>
          <w:rFonts w:ascii="Times New Roman" w:hAnsi="Times New Roman"/>
          <w:color w:themeColor="text1" w:val="000000"/>
          <w:sz w:val="28"/>
        </w:rPr>
        <w:t>индивидуальный предприниматель или юридическое лицо, определенные в соответствии со статьей 4 Федерального закона от 24 июля 2007 № 209-ФЗ;</w:t>
      </w:r>
    </w:p>
    <w:p w14:paraId="5F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претендент состоит в Едином реестре субъектов малого и среднего предпринимательства;</w:t>
      </w:r>
    </w:p>
    <w:p w14:paraId="60000000">
      <w:pPr>
        <w:spacing w:after="0" w:line="240" w:lineRule="auto"/>
        <w:ind w:firstLine="709" w:left="0"/>
        <w:jc w:val="both"/>
        <w:rPr>
          <w:rFonts w:ascii="Times New Roman" w:hAnsi="Times New Roman"/>
          <w:sz w:val="28"/>
        </w:rPr>
      </w:pPr>
      <w:r>
        <w:rPr>
          <w:rFonts w:ascii="Times New Roman" w:hAnsi="Times New Roman"/>
          <w:sz w:val="28"/>
        </w:rPr>
        <w:t xml:space="preserve">технологическое присоединение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 осуществляется</w:t>
      </w:r>
      <w:r>
        <w:rPr>
          <w:rFonts w:ascii="Times New Roman" w:hAnsi="Times New Roman"/>
          <w:sz w:val="28"/>
        </w:rPr>
        <w:t xml:space="preserve"> претендентом</w:t>
      </w:r>
      <w:r>
        <w:rPr>
          <w:rFonts w:ascii="Times New Roman" w:hAnsi="Times New Roman"/>
          <w:sz w:val="28"/>
        </w:rPr>
        <w:t xml:space="preserve"> в целях ведения предпринимательской деятельности;</w:t>
      </w:r>
    </w:p>
    <w:p w14:paraId="61000000">
      <w:pPr>
        <w:spacing w:after="0" w:line="240" w:lineRule="auto"/>
        <w:ind w:firstLine="709" w:left="0"/>
        <w:jc w:val="both"/>
        <w:rPr>
          <w:rFonts w:ascii="Times New Roman" w:hAnsi="Times New Roman"/>
          <w:sz w:val="28"/>
        </w:rPr>
      </w:pPr>
      <w:r>
        <w:rPr>
          <w:rFonts w:ascii="Times New Roman" w:hAnsi="Times New Roman"/>
          <w:sz w:val="28"/>
        </w:rPr>
        <w:t>присоединенная мощность не превышает 15 к</w:t>
      </w:r>
      <w:r>
        <w:rPr>
          <w:rFonts w:ascii="Times New Roman" w:hAnsi="Times New Roman"/>
          <w:sz w:val="28"/>
        </w:rPr>
        <w:t>Вт вкл</w:t>
      </w:r>
      <w:r>
        <w:rPr>
          <w:rFonts w:ascii="Times New Roman" w:hAnsi="Times New Roman"/>
          <w:sz w:val="28"/>
        </w:rPr>
        <w:t>ючительно;</w:t>
      </w:r>
    </w:p>
    <w:p w14:paraId="62000000">
      <w:pPr>
        <w:spacing w:after="0" w:line="240" w:lineRule="auto"/>
        <w:ind w:firstLine="709" w:left="0"/>
        <w:jc w:val="both"/>
        <w:rPr>
          <w:rFonts w:ascii="Times New Roman" w:hAnsi="Times New Roman"/>
          <w:sz w:val="28"/>
        </w:rPr>
      </w:pPr>
      <w:r>
        <w:rPr>
          <w:rFonts w:ascii="Times New Roman" w:hAnsi="Times New Roman"/>
          <w:sz w:val="28"/>
        </w:rPr>
        <w:t>затраты</w:t>
      </w:r>
      <w:r>
        <w:rPr>
          <w:rFonts w:ascii="Times New Roman" w:hAnsi="Times New Roman"/>
          <w:sz w:val="28"/>
        </w:rPr>
        <w:t xml:space="preserve"> претендента</w:t>
      </w:r>
      <w:r>
        <w:rPr>
          <w:rFonts w:ascii="Times New Roman" w:hAnsi="Times New Roman"/>
          <w:sz w:val="28"/>
        </w:rPr>
        <w:t xml:space="preserve"> связаны с оплатой электросетевой организации по договору:</w:t>
      </w:r>
    </w:p>
    <w:p w14:paraId="63000000">
      <w:pPr>
        <w:spacing w:after="0" w:line="240" w:lineRule="auto"/>
        <w:ind w:firstLine="709" w:left="0"/>
        <w:jc w:val="both"/>
        <w:rPr>
          <w:rFonts w:ascii="Times New Roman" w:hAnsi="Times New Roman"/>
          <w:sz w:val="28"/>
        </w:rPr>
      </w:pPr>
      <w:r>
        <w:rPr>
          <w:rFonts w:ascii="Times New Roman" w:hAnsi="Times New Roman"/>
          <w:sz w:val="28"/>
        </w:rPr>
        <w:t xml:space="preserve">а) технологического присоединения к электрическим сетям </w:t>
      </w:r>
      <w:r>
        <w:rPr>
          <w:rFonts w:ascii="Times New Roman" w:hAnsi="Times New Roman"/>
          <w:sz w:val="28"/>
        </w:rPr>
        <w:t>энергопринимающих</w:t>
      </w:r>
      <w:r>
        <w:rPr>
          <w:rFonts w:ascii="Times New Roman" w:hAnsi="Times New Roman"/>
          <w:sz w:val="28"/>
        </w:rPr>
        <w:t xml:space="preserve"> устройств, впервые вводимых в эксплуатацию;</w:t>
      </w:r>
    </w:p>
    <w:p w14:paraId="64000000">
      <w:pPr>
        <w:spacing w:after="0" w:line="240" w:lineRule="auto"/>
        <w:ind w:firstLine="709" w:left="0"/>
        <w:jc w:val="both"/>
        <w:rPr>
          <w:rFonts w:ascii="Times New Roman" w:hAnsi="Times New Roman"/>
          <w:sz w:val="28"/>
        </w:rPr>
      </w:pPr>
      <w:r>
        <w:rPr>
          <w:rFonts w:ascii="Times New Roman" w:hAnsi="Times New Roman"/>
          <w:sz w:val="28"/>
        </w:rPr>
        <w:t xml:space="preserve">б) технологического присоединения к электрическим сетям ранее присоединенных реконструируемых </w:t>
      </w:r>
      <w:r>
        <w:rPr>
          <w:rFonts w:ascii="Times New Roman" w:hAnsi="Times New Roman"/>
          <w:sz w:val="28"/>
        </w:rPr>
        <w:t>энергопринимающих</w:t>
      </w:r>
      <w:r>
        <w:rPr>
          <w:rFonts w:ascii="Times New Roman" w:hAnsi="Times New Roman"/>
          <w:sz w:val="28"/>
        </w:rPr>
        <w:t xml:space="preserve"> устройств, присоединенная мощность которых увеличивается;</w:t>
      </w:r>
    </w:p>
    <w:p w14:paraId="65000000">
      <w:pPr>
        <w:spacing w:after="0" w:line="240" w:lineRule="auto"/>
        <w:ind w:firstLine="709" w:left="0"/>
        <w:jc w:val="both"/>
        <w:rPr>
          <w:rFonts w:ascii="Times New Roman" w:hAnsi="Times New Roman"/>
          <w:sz w:val="28"/>
        </w:rPr>
      </w:pPr>
      <w:r>
        <w:rPr>
          <w:rFonts w:ascii="Times New Roman" w:hAnsi="Times New Roman"/>
          <w:sz w:val="28"/>
        </w:rPr>
        <w:t xml:space="preserve">в) изменения категории надежности электроснабжения, точки присоединения, вида производственной деятельности, не влекущих пересмотр величины присоединенной мощности, но изменяющих схему внешнего электроснабжения ранее присоединенных </w:t>
      </w:r>
      <w:r>
        <w:rPr>
          <w:rFonts w:ascii="Times New Roman" w:hAnsi="Times New Roman"/>
          <w:sz w:val="28"/>
        </w:rPr>
        <w:t>энергопринимающих</w:t>
      </w:r>
      <w:r>
        <w:rPr>
          <w:rFonts w:ascii="Times New Roman" w:hAnsi="Times New Roman"/>
          <w:sz w:val="28"/>
        </w:rPr>
        <w:t xml:space="preserve"> устройств;</w:t>
      </w:r>
    </w:p>
    <w:p w14:paraId="66000000">
      <w:pPr>
        <w:spacing w:after="0" w:line="240" w:lineRule="auto"/>
        <w:ind w:firstLine="709" w:left="0"/>
        <w:jc w:val="both"/>
        <w:rPr>
          <w:rFonts w:ascii="Times New Roman" w:hAnsi="Times New Roman"/>
          <w:sz w:val="28"/>
        </w:rPr>
      </w:pPr>
      <w:r>
        <w:rPr>
          <w:rFonts w:ascii="Times New Roman" w:hAnsi="Times New Roman"/>
          <w:sz w:val="28"/>
        </w:rPr>
        <w:t>от фактически произведенных и документально подтвержденных затрат</w:t>
      </w:r>
      <w:r>
        <w:rPr>
          <w:rFonts w:ascii="Times New Roman" w:hAnsi="Times New Roman"/>
          <w:sz w:val="28"/>
        </w:rPr>
        <w:t xml:space="preserve"> претендента</w:t>
      </w:r>
      <w:r>
        <w:rPr>
          <w:rFonts w:ascii="Times New Roman" w:hAnsi="Times New Roman"/>
          <w:sz w:val="28"/>
        </w:rPr>
        <w:t xml:space="preserve">, связанных с технологическим присоединением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 к моменту </w:t>
      </w:r>
      <w:r>
        <w:rPr>
          <w:rFonts w:ascii="Times New Roman" w:hAnsi="Times New Roman"/>
          <w:sz w:val="28"/>
        </w:rPr>
        <w:t>пред</w:t>
      </w:r>
      <w:r>
        <w:rPr>
          <w:rFonts w:ascii="Times New Roman" w:hAnsi="Times New Roman"/>
          <w:sz w:val="28"/>
        </w:rPr>
        <w:t>ачи</w:t>
      </w:r>
      <w:r>
        <w:rPr>
          <w:rFonts w:ascii="Times New Roman" w:hAnsi="Times New Roman"/>
          <w:sz w:val="28"/>
        </w:rPr>
        <w:t xml:space="preserve"> </w:t>
      </w:r>
      <w:r>
        <w:rPr>
          <w:rFonts w:ascii="Times New Roman" w:hAnsi="Times New Roman"/>
          <w:sz w:val="28"/>
        </w:rPr>
        <w:t>заявки</w:t>
      </w:r>
      <w:r>
        <w:rPr>
          <w:rFonts w:ascii="Times New Roman" w:hAnsi="Times New Roman"/>
          <w:sz w:val="28"/>
        </w:rPr>
        <w:t>, прошло не более 730 дней.</w:t>
      </w:r>
    </w:p>
    <w:p w14:paraId="67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2.2. Проверка соответствия требованиям, установленным в пункте 2.1 настоящего Порядка, осуществляется в рамках проведения конкурса в соответствии с пунктом 4.7 настоящего Порядка.</w:t>
      </w:r>
    </w:p>
    <w:p w14:paraId="68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2.3. Для участия в конкурсе претенденты подают заявку на участие в отборе (далее также - заявка) в электронной форме посредством заполнения соответствующих экранных форм веб-интерфейса и представляют электронные копии документов (документов на бумажном носителе, преобразованных в электронную форму путем сканирования) в соответствии с требованиями настоящего Порядка.</w:t>
      </w:r>
    </w:p>
    <w:p w14:paraId="69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2.4. Заявка подписывается усиленной квалифицированной электронной подписью претендента (руководителя претендента или уполномоченного им лица) и включает в себя следующие электронные копии документов:</w:t>
      </w:r>
    </w:p>
    <w:p w14:paraId="6A000000">
      <w:pPr>
        <w:spacing w:after="0" w:line="240" w:lineRule="auto"/>
        <w:ind w:firstLine="709" w:left="0"/>
        <w:jc w:val="both"/>
        <w:rPr>
          <w:rFonts w:ascii="Times New Roman" w:hAnsi="Times New Roman"/>
          <w:color w:themeColor="text1" w:val="000000"/>
          <w:sz w:val="28"/>
        </w:rPr>
      </w:pPr>
      <w:r>
        <w:rPr>
          <w:rFonts w:ascii="Times New Roman" w:hAnsi="Times New Roman"/>
          <w:color w:themeColor="text1" w:val="000000"/>
          <w:sz w:val="28"/>
        </w:rPr>
        <w:t>2.4.1. Заявление о предоставлении субсидии по рекомендуемому образцу, установленному Министерством финансов Российской Федерации (далее - заявление), сформированному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6B000000">
      <w:pPr>
        <w:spacing w:after="0" w:line="240" w:lineRule="auto"/>
        <w:ind w:firstLine="709" w:left="0"/>
        <w:jc w:val="both"/>
        <w:rPr>
          <w:rFonts w:ascii="Times New Roman" w:hAnsi="Times New Roman"/>
          <w:sz w:val="28"/>
        </w:rPr>
      </w:pPr>
      <w:r>
        <w:rPr>
          <w:rFonts w:ascii="Times New Roman" w:hAnsi="Times New Roman"/>
          <w:sz w:val="28"/>
          <w:highlight w:val="white"/>
        </w:rPr>
        <w:t>2.4.2. Технико-экономическое обоснование</w:t>
      </w:r>
      <w:r>
        <w:rPr>
          <w:rFonts w:ascii="Times New Roman" w:hAnsi="Times New Roman"/>
          <w:sz w:val="28"/>
          <w:highlight w:val="white"/>
        </w:rPr>
        <w:t xml:space="preserve"> </w:t>
      </w:r>
      <w:r>
        <w:rPr>
          <w:rFonts w:ascii="Times New Roman" w:hAnsi="Times New Roman"/>
          <w:sz w:val="28"/>
        </w:rPr>
        <w:t xml:space="preserve">технологического присоединения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r>
        <w:rPr>
          <w:rFonts w:ascii="Times New Roman" w:hAnsi="Times New Roman"/>
          <w:sz w:val="28"/>
        </w:rPr>
        <w:t xml:space="preserve"> </w:t>
      </w:r>
      <w:r>
        <w:rPr>
          <w:rFonts w:ascii="Times New Roman" w:hAnsi="Times New Roman"/>
          <w:sz w:val="28"/>
        </w:rPr>
        <w:t>(далее - проект)</w:t>
      </w:r>
      <w:r>
        <w:rPr>
          <w:rFonts w:ascii="Times New Roman" w:hAnsi="Times New Roman"/>
          <w:sz w:val="28"/>
        </w:rPr>
        <w:t xml:space="preserve"> </w:t>
      </w:r>
      <w:r>
        <w:rPr>
          <w:rFonts w:ascii="Times New Roman" w:hAnsi="Times New Roman"/>
          <w:sz w:val="28"/>
        </w:rPr>
        <w:t>(требования к оформлению: объем не менее 3 страниц (формат А</w:t>
      </w:r>
      <w:r>
        <w:rPr>
          <w:rFonts w:ascii="Times New Roman" w:hAnsi="Times New Roman"/>
          <w:sz w:val="28"/>
        </w:rPr>
        <w:t>4</w:t>
      </w:r>
      <w:r>
        <w:rPr>
          <w:rFonts w:ascii="Times New Roman" w:hAnsi="Times New Roman"/>
          <w:sz w:val="28"/>
        </w:rPr>
        <w:t xml:space="preserve">, краткое описание деятельности, обоснование значимости), цель (цели и задачи), ресурсы, необходимые для реализации проекта, </w:t>
      </w:r>
      <w:r>
        <w:rPr>
          <w:rFonts w:ascii="Times New Roman" w:hAnsi="Times New Roman"/>
          <w:sz w:val="28"/>
        </w:rPr>
        <w:t xml:space="preserve">расчет размера субсидии, по форме согласно Приложению № </w:t>
      </w:r>
      <w:r>
        <w:rPr>
          <w:rFonts w:ascii="Times New Roman" w:hAnsi="Times New Roman"/>
          <w:sz w:val="28"/>
        </w:rPr>
        <w:t>2</w:t>
      </w:r>
      <w:r>
        <w:rPr>
          <w:rFonts w:ascii="Times New Roman" w:hAnsi="Times New Roman"/>
          <w:sz w:val="28"/>
        </w:rPr>
        <w:t xml:space="preserve"> к настоящему Порядку</w:t>
      </w:r>
      <w:r>
        <w:rPr>
          <w:rFonts w:ascii="Times New Roman" w:hAnsi="Times New Roman"/>
          <w:sz w:val="28"/>
        </w:rPr>
        <w:t>, качественно и количественно измеримые результаты, достигаемые в результате реализации проекта, создание и сохранение рабочих мест,  предполагаемые направления расходов, необходимые для реализации проекта, срок реализации проекта, его эффективность);</w:t>
      </w:r>
      <w:r>
        <w:rPr>
          <w:rFonts w:ascii="Times New Roman" w:hAnsi="Times New Roman"/>
          <w:sz w:val="28"/>
        </w:rPr>
        <w:t xml:space="preserve"> </w:t>
      </w:r>
    </w:p>
    <w:p w14:paraId="6C000000">
      <w:pPr>
        <w:spacing w:after="0" w:line="240" w:lineRule="auto"/>
        <w:ind w:firstLine="709" w:left="0"/>
        <w:jc w:val="both"/>
        <w:rPr>
          <w:rFonts w:ascii="Times New Roman" w:hAnsi="Times New Roman"/>
          <w:sz w:val="28"/>
        </w:rPr>
      </w:pPr>
      <w:r>
        <w:rPr>
          <w:rFonts w:ascii="Times New Roman" w:hAnsi="Times New Roman"/>
          <w:sz w:val="28"/>
        </w:rPr>
        <w:t>2.4.3. Справку с реквизитами действующего банковского счета претендента;</w:t>
      </w:r>
    </w:p>
    <w:p w14:paraId="6D000000">
      <w:pPr>
        <w:spacing w:after="0" w:line="240" w:lineRule="auto"/>
        <w:ind w:firstLine="709" w:left="0"/>
        <w:jc w:val="both"/>
        <w:rPr>
          <w:rFonts w:ascii="Times New Roman" w:hAnsi="Times New Roman"/>
          <w:sz w:val="28"/>
        </w:rPr>
      </w:pPr>
      <w:r>
        <w:rPr>
          <w:rFonts w:ascii="Times New Roman" w:hAnsi="Times New Roman"/>
          <w:sz w:val="28"/>
        </w:rPr>
        <w:t>2.4.4. Согласие на обработку персональных данных претендента (если претендент является индивидуальным предпринимателем), участника (акционера) претендента - юридического лица, являющегося физическим лицом;</w:t>
      </w:r>
    </w:p>
    <w:p w14:paraId="6E000000">
      <w:pPr>
        <w:spacing w:after="0" w:line="240" w:lineRule="auto"/>
        <w:ind w:firstLine="709" w:left="0"/>
        <w:jc w:val="both"/>
        <w:rPr>
          <w:rFonts w:ascii="Times New Roman" w:hAnsi="Times New Roman"/>
          <w:sz w:val="28"/>
        </w:rPr>
      </w:pPr>
      <w:r>
        <w:rPr>
          <w:rFonts w:ascii="Times New Roman" w:hAnsi="Times New Roman"/>
          <w:sz w:val="28"/>
        </w:rPr>
        <w:t>2.4.5. Д</w:t>
      </w:r>
      <w:r>
        <w:rPr>
          <w:rFonts w:ascii="Times New Roman" w:hAnsi="Times New Roman"/>
          <w:sz w:val="28"/>
        </w:rPr>
        <w:t>оговор о технологическом присоединении к электрическим сетям;</w:t>
      </w:r>
    </w:p>
    <w:p w14:paraId="6F000000">
      <w:pPr>
        <w:spacing w:after="0" w:line="240" w:lineRule="auto"/>
        <w:ind w:firstLine="709" w:left="0"/>
        <w:jc w:val="both"/>
        <w:rPr>
          <w:rFonts w:ascii="Times New Roman" w:hAnsi="Times New Roman"/>
          <w:sz w:val="28"/>
        </w:rPr>
      </w:pPr>
      <w:r>
        <w:rPr>
          <w:rFonts w:ascii="Times New Roman" w:hAnsi="Times New Roman"/>
          <w:sz w:val="28"/>
        </w:rPr>
        <w:t>2.4.6. П</w:t>
      </w:r>
      <w:r>
        <w:rPr>
          <w:rFonts w:ascii="Times New Roman" w:hAnsi="Times New Roman"/>
          <w:sz w:val="28"/>
        </w:rPr>
        <w:t>латежно</w:t>
      </w:r>
      <w:r>
        <w:rPr>
          <w:rFonts w:ascii="Times New Roman" w:hAnsi="Times New Roman"/>
          <w:sz w:val="28"/>
        </w:rPr>
        <w:t>е</w:t>
      </w:r>
      <w:r>
        <w:rPr>
          <w:rFonts w:ascii="Times New Roman" w:hAnsi="Times New Roman"/>
          <w:sz w:val="28"/>
        </w:rPr>
        <w:t xml:space="preserve"> поручени</w:t>
      </w:r>
      <w:r>
        <w:rPr>
          <w:rFonts w:ascii="Times New Roman" w:hAnsi="Times New Roman"/>
          <w:sz w:val="28"/>
        </w:rPr>
        <w:t>е</w:t>
      </w:r>
      <w:r>
        <w:rPr>
          <w:rFonts w:ascii="Times New Roman" w:hAnsi="Times New Roman"/>
          <w:sz w:val="28"/>
        </w:rPr>
        <w:t>, заверенн</w:t>
      </w:r>
      <w:r>
        <w:rPr>
          <w:rFonts w:ascii="Times New Roman" w:hAnsi="Times New Roman"/>
          <w:sz w:val="28"/>
        </w:rPr>
        <w:t>ое</w:t>
      </w:r>
      <w:r>
        <w:rPr>
          <w:rFonts w:ascii="Times New Roman" w:hAnsi="Times New Roman"/>
          <w:sz w:val="28"/>
        </w:rPr>
        <w:t xml:space="preserve"> банком, или надлежаще заверенн</w:t>
      </w:r>
      <w:r>
        <w:rPr>
          <w:rFonts w:ascii="Times New Roman" w:hAnsi="Times New Roman"/>
          <w:sz w:val="28"/>
        </w:rPr>
        <w:t>ая</w:t>
      </w:r>
      <w:r>
        <w:rPr>
          <w:rFonts w:ascii="Times New Roman" w:hAnsi="Times New Roman"/>
          <w:sz w:val="28"/>
        </w:rPr>
        <w:t xml:space="preserve"> копия кассового чека с приложением квитанции к приходному кассовому ордеру, подтверждающие оплату технологического присоединения к электрическим сетям;</w:t>
      </w:r>
    </w:p>
    <w:p w14:paraId="70000000">
      <w:pPr>
        <w:spacing w:after="0" w:line="240" w:lineRule="auto"/>
        <w:ind w:firstLine="709" w:left="0"/>
        <w:jc w:val="both"/>
        <w:rPr>
          <w:rFonts w:ascii="Times New Roman" w:hAnsi="Times New Roman"/>
          <w:sz w:val="28"/>
        </w:rPr>
      </w:pPr>
      <w:r>
        <w:rPr>
          <w:rFonts w:ascii="Times New Roman" w:hAnsi="Times New Roman"/>
          <w:sz w:val="28"/>
        </w:rPr>
        <w:t>2.4.7. А</w:t>
      </w:r>
      <w:r>
        <w:rPr>
          <w:rFonts w:ascii="Times New Roman" w:hAnsi="Times New Roman"/>
          <w:sz w:val="28"/>
        </w:rPr>
        <w:t>кт выполненных работ.</w:t>
      </w:r>
    </w:p>
    <w:p w14:paraId="71000000">
      <w:pPr>
        <w:spacing w:after="0" w:line="240" w:lineRule="auto"/>
        <w:ind w:firstLine="709" w:left="0"/>
        <w:jc w:val="both"/>
        <w:rPr>
          <w:rFonts w:ascii="Times New Roman" w:hAnsi="Times New Roman"/>
          <w:sz w:val="28"/>
        </w:rPr>
      </w:pPr>
      <w:r>
        <w:rPr>
          <w:rFonts w:ascii="Times New Roman" w:hAnsi="Times New Roman"/>
          <w:sz w:val="28"/>
        </w:rPr>
        <w:t xml:space="preserve">2.5. </w:t>
      </w:r>
      <w:r>
        <w:rPr>
          <w:rFonts w:ascii="Times New Roman" w:hAnsi="Times New Roman"/>
          <w:sz w:val="28"/>
        </w:rPr>
        <w:t>В целях подтверждения соответствия претендента требованиям, установленным пунктом 2.1 настоящего Порядка, Администрации запрещено требовать от претендента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претендент готов представить указанные документы и информацию Администрации по собственной инициативе.</w:t>
      </w:r>
    </w:p>
    <w:p w14:paraId="72000000">
      <w:pPr>
        <w:spacing w:after="0" w:line="240" w:lineRule="auto"/>
        <w:ind w:firstLine="709" w:left="0"/>
        <w:jc w:val="both"/>
        <w:rPr>
          <w:rFonts w:ascii="Times New Roman" w:hAnsi="Times New Roman"/>
          <w:sz w:val="28"/>
        </w:rPr>
      </w:pPr>
      <w:r>
        <w:rPr>
          <w:rFonts w:ascii="Times New Roman" w:hAnsi="Times New Roman"/>
          <w:sz w:val="28"/>
        </w:rPr>
        <w:t>2.6. Основаниями для отказа в предоставлении субсидии являются:</w:t>
      </w:r>
    </w:p>
    <w:p w14:paraId="73000000">
      <w:pPr>
        <w:spacing w:after="0" w:line="240" w:lineRule="auto"/>
        <w:ind w:firstLine="709" w:left="0"/>
        <w:jc w:val="both"/>
        <w:rPr>
          <w:rFonts w:ascii="Times New Roman" w:hAnsi="Times New Roman"/>
          <w:sz w:val="28"/>
        </w:rPr>
      </w:pPr>
      <w:r>
        <w:rPr>
          <w:rFonts w:ascii="Times New Roman" w:hAnsi="Times New Roman"/>
          <w:sz w:val="28"/>
        </w:rPr>
        <w:t>несоответствие представленных документов требованиям, определенным пунктами 2.1, 2.4 настоящего Порядка, или непредставление (представление не в полном объеме) указанных документов;</w:t>
      </w:r>
    </w:p>
    <w:p w14:paraId="74000000">
      <w:pPr>
        <w:spacing w:after="0" w:line="240" w:lineRule="auto"/>
        <w:ind w:firstLine="709" w:left="0"/>
        <w:jc w:val="both"/>
        <w:rPr>
          <w:rFonts w:ascii="Times New Roman" w:hAnsi="Times New Roman"/>
          <w:sz w:val="28"/>
        </w:rPr>
      </w:pPr>
      <w:r>
        <w:rPr>
          <w:rFonts w:ascii="Times New Roman" w:hAnsi="Times New Roman"/>
          <w:sz w:val="28"/>
        </w:rPr>
        <w:t>установление факта недостоверности представленной получателем субсидии информации.</w:t>
      </w:r>
    </w:p>
    <w:p w14:paraId="75000000">
      <w:pPr>
        <w:spacing w:after="0" w:line="240" w:lineRule="auto"/>
        <w:ind w:firstLine="709" w:left="0"/>
        <w:jc w:val="both"/>
        <w:rPr>
          <w:rFonts w:ascii="Times New Roman" w:hAnsi="Times New Roman"/>
          <w:sz w:val="28"/>
        </w:rPr>
      </w:pPr>
      <w:r>
        <w:rPr>
          <w:rFonts w:ascii="Times New Roman" w:hAnsi="Times New Roman"/>
          <w:sz w:val="28"/>
        </w:rPr>
        <w:t>2.7. Субсидия предоставляется в размере, указанном в проекте на предоставление субсидии, в размере:</w:t>
      </w:r>
    </w:p>
    <w:p w14:paraId="76000000">
      <w:pPr>
        <w:spacing w:after="0" w:line="240" w:lineRule="auto"/>
        <w:ind w:firstLine="709" w:left="0"/>
        <w:jc w:val="both"/>
        <w:rPr>
          <w:rFonts w:ascii="Times New Roman" w:hAnsi="Times New Roman"/>
          <w:sz w:val="28"/>
        </w:rPr>
      </w:pPr>
      <w:r>
        <w:rPr>
          <w:rFonts w:ascii="Times New Roman" w:hAnsi="Times New Roman"/>
          <w:sz w:val="28"/>
        </w:rPr>
        <w:t xml:space="preserve">50 процентов, </w:t>
      </w:r>
      <w:r>
        <w:rPr>
          <w:rFonts w:ascii="Times New Roman" w:hAnsi="Times New Roman"/>
          <w:sz w:val="28"/>
        </w:rPr>
        <w:t>но не более 250 000 (двухсот пятидесяти тысяч) рублей на один субъект малого и среднего предпринимательства,</w:t>
      </w:r>
      <w:r>
        <w:rPr>
          <w:rFonts w:ascii="Times New Roman" w:hAnsi="Times New Roman"/>
          <w:sz w:val="28"/>
        </w:rPr>
        <w:t xml:space="preserve"> от фактически произведенных и документально подтвержденных затрат, связанных с технологическим присоединением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 в течение 730 дней к моменту </w:t>
      </w:r>
      <w:r>
        <w:rPr>
          <w:rFonts w:ascii="Times New Roman" w:hAnsi="Times New Roman"/>
          <w:sz w:val="28"/>
        </w:rPr>
        <w:t>подачи заявки</w:t>
      </w:r>
      <w:r>
        <w:rPr>
          <w:rFonts w:ascii="Times New Roman" w:hAnsi="Times New Roman"/>
          <w:sz w:val="28"/>
        </w:rPr>
        <w:t>.</w:t>
      </w:r>
    </w:p>
    <w:p w14:paraId="77000000">
      <w:pPr>
        <w:spacing w:after="0" w:line="240" w:lineRule="auto"/>
        <w:ind w:firstLine="709" w:left="0"/>
        <w:jc w:val="both"/>
        <w:rPr>
          <w:rFonts w:ascii="Times New Roman" w:hAnsi="Times New Roman"/>
          <w:sz w:val="28"/>
        </w:rPr>
      </w:pPr>
      <w:r>
        <w:rPr>
          <w:rFonts w:ascii="Times New Roman" w:hAnsi="Times New Roman"/>
          <w:sz w:val="28"/>
        </w:rPr>
        <w:t xml:space="preserve">2.8. </w:t>
      </w:r>
      <w:r>
        <w:rPr>
          <w:rFonts w:ascii="Times New Roman" w:hAnsi="Times New Roman"/>
          <w:sz w:val="28"/>
        </w:rPr>
        <w:t>Предоставление субсидии осуществляется на основании соглашения, заключаемого Администрацией с получателем субсидии, которое оформляется в соответствии с типовыми формами, установленными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 юридическим лицам, индивидуальным предпринимателям, а также физическим лицам».</w:t>
      </w:r>
    </w:p>
    <w:p w14:paraId="78000000">
      <w:pPr>
        <w:spacing w:after="0" w:line="240" w:lineRule="auto"/>
        <w:ind w:firstLine="709" w:left="0"/>
        <w:jc w:val="both"/>
        <w:rPr>
          <w:rFonts w:ascii="Times New Roman" w:hAnsi="Times New Roman"/>
          <w:sz w:val="28"/>
        </w:rPr>
      </w:pPr>
      <w:r>
        <w:rPr>
          <w:rFonts w:ascii="Times New Roman" w:hAnsi="Times New Roman"/>
          <w:sz w:val="28"/>
        </w:rPr>
        <w:t>2.9. Соглашение заключается в течение 20 рабочих дней со дня вступления в силу постановления Администрации о предоставлении субсидии и содержит следующие обязательные условия (требования):</w:t>
      </w:r>
    </w:p>
    <w:p w14:paraId="79000000">
      <w:pPr>
        <w:spacing w:after="0" w:line="240" w:lineRule="auto"/>
        <w:ind w:firstLine="709" w:left="0"/>
        <w:jc w:val="both"/>
        <w:rPr>
          <w:rFonts w:ascii="Times New Roman" w:hAnsi="Times New Roman"/>
          <w:sz w:val="28"/>
        </w:rPr>
      </w:pPr>
      <w:r>
        <w:rPr>
          <w:rFonts w:ascii="Times New Roman" w:hAnsi="Times New Roman"/>
          <w:sz w:val="28"/>
        </w:rPr>
        <w:t>согласие получателя субсидии, на осуществление в отношении их проверки Администрацией соблюдения порядка и условий предоставления средств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14:paraId="7A000000">
      <w:pPr>
        <w:spacing w:after="0" w:line="240" w:lineRule="auto"/>
        <w:ind w:firstLine="709" w:left="0"/>
        <w:jc w:val="both"/>
        <w:rPr>
          <w:rFonts w:ascii="Times New Roman" w:hAnsi="Times New Roman"/>
          <w:sz w:val="28"/>
        </w:rPr>
      </w:pPr>
      <w:r>
        <w:rPr>
          <w:rFonts w:ascii="Times New Roman" w:hAnsi="Times New Roman"/>
          <w:sz w:val="28"/>
        </w:rPr>
        <w:t>порядок и сроки возврата субсидии в бюджет Прокопьевского муниципального округа;</w:t>
      </w:r>
    </w:p>
    <w:p w14:paraId="7B000000">
      <w:pPr>
        <w:spacing w:after="0" w:line="240" w:lineRule="auto"/>
        <w:ind w:firstLine="709" w:left="0"/>
        <w:jc w:val="both"/>
        <w:rPr>
          <w:rFonts w:ascii="Times New Roman" w:hAnsi="Times New Roman"/>
          <w:sz w:val="28"/>
        </w:rPr>
      </w:pPr>
      <w:r>
        <w:rPr>
          <w:rFonts w:ascii="Times New Roman" w:hAnsi="Times New Roman"/>
          <w:sz w:val="28"/>
        </w:rPr>
        <w:t xml:space="preserve">осуществление предпринимательской деятельности на территории Прокопьевского муниципального округа не менее 36 месяцев </w:t>
      </w:r>
      <w:r>
        <w:rPr>
          <w:rFonts w:ascii="Times New Roman" w:hAnsi="Times New Roman"/>
          <w:sz w:val="28"/>
        </w:rPr>
        <w:t>с даты подписания</w:t>
      </w:r>
      <w:r>
        <w:rPr>
          <w:rFonts w:ascii="Times New Roman" w:hAnsi="Times New Roman"/>
          <w:sz w:val="28"/>
        </w:rPr>
        <w:t xml:space="preserve"> соглашения о предоставлении субсидии.</w:t>
      </w:r>
    </w:p>
    <w:p w14:paraId="7C000000">
      <w:pPr>
        <w:spacing w:after="0" w:line="240" w:lineRule="auto"/>
        <w:ind w:firstLine="709" w:left="0"/>
        <w:jc w:val="both"/>
        <w:rPr>
          <w:rFonts w:ascii="Times New Roman" w:hAnsi="Times New Roman"/>
          <w:sz w:val="28"/>
        </w:rPr>
      </w:pPr>
      <w:r>
        <w:rPr>
          <w:rFonts w:ascii="Times New Roman" w:hAnsi="Times New Roman"/>
          <w:sz w:val="28"/>
        </w:rPr>
        <w:t>2.10. Средства субсидии предоставляются на возмещение расходов, связанных с реализацией проекта:</w:t>
      </w:r>
    </w:p>
    <w:p w14:paraId="7D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технологическое присоединение </w:t>
      </w:r>
      <w:r>
        <w:rPr>
          <w:rFonts w:ascii="Times New Roman" w:hAnsi="Times New Roman"/>
          <w:color w:val="000000"/>
          <w:sz w:val="28"/>
        </w:rPr>
        <w:t>энергопринимающих</w:t>
      </w:r>
      <w:r>
        <w:rPr>
          <w:rFonts w:ascii="Times New Roman" w:hAnsi="Times New Roman"/>
          <w:color w:val="000000"/>
          <w:sz w:val="28"/>
        </w:rPr>
        <w:t xml:space="preserve"> устройств к электрическим сетям в целях ведения предпринимательской деятельности;</w:t>
      </w:r>
    </w:p>
    <w:p w14:paraId="7E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присоединенная мощность не превышает 15 к</w:t>
      </w:r>
      <w:r>
        <w:rPr>
          <w:rFonts w:ascii="Times New Roman" w:hAnsi="Times New Roman"/>
          <w:color w:val="000000"/>
          <w:sz w:val="28"/>
        </w:rPr>
        <w:t>Вт вкл</w:t>
      </w:r>
      <w:r>
        <w:rPr>
          <w:rFonts w:ascii="Times New Roman" w:hAnsi="Times New Roman"/>
          <w:color w:val="000000"/>
          <w:sz w:val="28"/>
        </w:rPr>
        <w:t>ючительно;</w:t>
      </w:r>
    </w:p>
    <w:p w14:paraId="7F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затраты претендента связаны с оплатой электросетевой организации по договору:</w:t>
      </w:r>
    </w:p>
    <w:p w14:paraId="80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а) технологического присоединения к электрическим сетям </w:t>
      </w:r>
      <w:r>
        <w:rPr>
          <w:rFonts w:ascii="Times New Roman" w:hAnsi="Times New Roman"/>
          <w:color w:val="000000"/>
          <w:sz w:val="28"/>
        </w:rPr>
        <w:t>энергопринимающих</w:t>
      </w:r>
      <w:r>
        <w:rPr>
          <w:rFonts w:ascii="Times New Roman" w:hAnsi="Times New Roman"/>
          <w:color w:val="000000"/>
          <w:sz w:val="28"/>
        </w:rPr>
        <w:t xml:space="preserve"> устройств, впервые вводимых в эксплуатацию;</w:t>
      </w:r>
    </w:p>
    <w:p w14:paraId="81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б) технологического присоединения к электрическим сетям ранее присоединенных реконструируемых </w:t>
      </w:r>
      <w:r>
        <w:rPr>
          <w:rFonts w:ascii="Times New Roman" w:hAnsi="Times New Roman"/>
          <w:color w:val="000000"/>
          <w:sz w:val="28"/>
        </w:rPr>
        <w:t>энергопринимающих</w:t>
      </w:r>
      <w:r>
        <w:rPr>
          <w:rFonts w:ascii="Times New Roman" w:hAnsi="Times New Roman"/>
          <w:color w:val="000000"/>
          <w:sz w:val="28"/>
        </w:rPr>
        <w:t xml:space="preserve"> устройств, присоединенная мощность которых увеличивается;</w:t>
      </w:r>
    </w:p>
    <w:p w14:paraId="82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 изменения категории надежности электроснабжения, точки присоединения, вида производственной деятельности, не влекущих пересмотр величины присоединенной мощности, но изменяющих схему </w:t>
      </w:r>
      <w:r>
        <w:rPr>
          <w:rFonts w:ascii="Times New Roman" w:hAnsi="Times New Roman"/>
          <w:color w:val="000000"/>
          <w:sz w:val="28"/>
        </w:rPr>
        <w:t xml:space="preserve">внешнего электроснабжения ранее присоединенных </w:t>
      </w:r>
      <w:r>
        <w:rPr>
          <w:rFonts w:ascii="Times New Roman" w:hAnsi="Times New Roman"/>
          <w:color w:val="000000"/>
          <w:sz w:val="28"/>
        </w:rPr>
        <w:t>энергопринимающих</w:t>
      </w:r>
      <w:r>
        <w:rPr>
          <w:rFonts w:ascii="Times New Roman" w:hAnsi="Times New Roman"/>
          <w:color w:val="000000"/>
          <w:sz w:val="28"/>
        </w:rPr>
        <w:t xml:space="preserve"> устройств;</w:t>
      </w:r>
    </w:p>
    <w:p w14:paraId="8300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от фактически произведенных и документально подтвержденных затрат претендента, связанных с технологическим присоединением </w:t>
      </w:r>
      <w:r>
        <w:rPr>
          <w:rFonts w:ascii="Times New Roman" w:hAnsi="Times New Roman"/>
          <w:color w:val="000000"/>
          <w:sz w:val="28"/>
        </w:rPr>
        <w:t>энергопринимающих</w:t>
      </w:r>
      <w:r>
        <w:rPr>
          <w:rFonts w:ascii="Times New Roman" w:hAnsi="Times New Roman"/>
          <w:color w:val="000000"/>
          <w:sz w:val="28"/>
        </w:rPr>
        <w:t xml:space="preserve"> устройств к электрическим сетям, к моменту </w:t>
      </w:r>
      <w:r>
        <w:rPr>
          <w:rFonts w:ascii="Times New Roman" w:hAnsi="Times New Roman"/>
          <w:color w:val="000000"/>
          <w:sz w:val="28"/>
        </w:rPr>
        <w:t>предачи</w:t>
      </w:r>
      <w:r>
        <w:rPr>
          <w:rFonts w:ascii="Times New Roman" w:hAnsi="Times New Roman"/>
          <w:color w:val="000000"/>
          <w:sz w:val="28"/>
        </w:rPr>
        <w:t xml:space="preserve"> заявки, прошло не более 730 дней.</w:t>
      </w:r>
    </w:p>
    <w:p w14:paraId="84000000">
      <w:pPr>
        <w:spacing w:after="0" w:line="240" w:lineRule="auto"/>
        <w:ind w:firstLine="851" w:left="0"/>
        <w:jc w:val="both"/>
        <w:rPr>
          <w:rFonts w:ascii="Times New Roman" w:hAnsi="Times New Roman"/>
          <w:sz w:val="28"/>
        </w:rPr>
      </w:pPr>
      <w:r>
        <w:rPr>
          <w:rFonts w:ascii="Times New Roman" w:hAnsi="Times New Roman"/>
          <w:sz w:val="28"/>
        </w:rPr>
        <w:t xml:space="preserve">2.11. Результатом предоставления субсидии является достижение значений результатов предоставления субсидии устанавливаемых соглашением. </w:t>
      </w:r>
    </w:p>
    <w:p w14:paraId="85000000">
      <w:pPr>
        <w:spacing w:after="0" w:line="240" w:lineRule="auto"/>
        <w:ind w:firstLine="851" w:left="0"/>
        <w:jc w:val="both"/>
        <w:rPr>
          <w:rFonts w:ascii="Times New Roman" w:hAnsi="Times New Roman"/>
          <w:sz w:val="28"/>
        </w:rPr>
      </w:pPr>
      <w:r>
        <w:rPr>
          <w:rFonts w:ascii="Times New Roman" w:hAnsi="Times New Roman"/>
          <w:sz w:val="28"/>
        </w:rPr>
        <w:t>2.12. В случае не подписания победителем конкурса соглашения в срок, указанный в пункте 2.9 настоящего Порядка, победитель конкурса считается уклонившимся от заключения соглашения.</w:t>
      </w:r>
    </w:p>
    <w:p w14:paraId="86000000">
      <w:pPr>
        <w:spacing w:after="0" w:line="240" w:lineRule="auto"/>
        <w:ind w:firstLine="851" w:left="0"/>
        <w:jc w:val="both"/>
        <w:rPr>
          <w:rFonts w:ascii="Times New Roman" w:hAnsi="Times New Roman"/>
          <w:sz w:val="28"/>
        </w:rPr>
      </w:pPr>
      <w:r>
        <w:rPr>
          <w:rFonts w:ascii="Times New Roman" w:hAnsi="Times New Roman"/>
          <w:sz w:val="28"/>
        </w:rPr>
        <w:t>2.13. В случае реорганизации, ликвидации или прекращения деятельности получателя субсидии в период действия соглашения получатель субсидии должен направить в течение 15 рабочих дней со дня внесения соответствующей записи в Единый государственный реестр юридических лиц (индивидуальных предпринимателей) в Администрацию уведомление о реорганизации, ликвидации или прекращении деятельности.</w:t>
      </w:r>
    </w:p>
    <w:p w14:paraId="87000000">
      <w:pPr>
        <w:spacing w:after="0" w:line="240" w:lineRule="auto"/>
        <w:ind w:firstLine="851" w:left="0"/>
        <w:jc w:val="both"/>
        <w:rPr>
          <w:rFonts w:ascii="Times New Roman" w:hAnsi="Times New Roman"/>
          <w:sz w:val="28"/>
        </w:rPr>
      </w:pPr>
      <w:r>
        <w:rPr>
          <w:rFonts w:ascii="Times New Roman" w:hAnsi="Times New Roman"/>
          <w:sz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дополнительном соглашении юридического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реорганизации получателя субсидии.</w:t>
      </w:r>
    </w:p>
    <w:p w14:paraId="88000000">
      <w:pPr>
        <w:spacing w:after="0" w:line="240" w:lineRule="auto"/>
        <w:ind w:firstLine="851" w:left="0"/>
        <w:jc w:val="both"/>
        <w:rPr>
          <w:rFonts w:ascii="Times New Roman" w:hAnsi="Times New Roman"/>
          <w:sz w:val="28"/>
        </w:rPr>
      </w:pPr>
      <w:r>
        <w:rPr>
          <w:rFonts w:ascii="Times New Roman" w:hAnsi="Times New Roman"/>
          <w:sz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в течение 10 рабочих дней</w:t>
      </w:r>
      <w:r>
        <w:rPr>
          <w:rFonts w:ascii="Times New Roman" w:hAnsi="Times New Roman"/>
          <w:sz w:val="28"/>
        </w:rPr>
        <w:t xml:space="preserve"> со дня получения Министерством уведомления о реорганизации, ликвидации или прекращении деятельности получателя субсидии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возмещения которых является субсидия, и возврате субсидии в бюджет Прокопьевского муниципального округа. </w:t>
      </w:r>
    </w:p>
    <w:p w14:paraId="89000000">
      <w:pPr>
        <w:spacing w:after="0" w:line="240" w:lineRule="auto"/>
        <w:ind w:firstLine="851" w:left="0"/>
        <w:jc w:val="both"/>
        <w:rPr>
          <w:rFonts w:ascii="Times New Roman" w:hAnsi="Times New Roman"/>
          <w:sz w:val="28"/>
        </w:rPr>
      </w:pPr>
      <w:r>
        <w:rPr>
          <w:rFonts w:ascii="Times New Roman" w:hAnsi="Times New Roman"/>
          <w:sz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w:t>
      </w:r>
      <w:r>
        <w:rPr>
          <w:rFonts w:ascii="Times New Roman" w:hAnsi="Times New Roman"/>
          <w:sz w:val="28"/>
        </w:rPr>
        <w:t>Федерации, передающего свои права другому гражданину в соответствии со статьей 18 Федерального закона от 11.06.2003 № 74-ФЗ «О крестьянском (фермерском) хозяйстве», в соглашение вносятся изменения путем заключения дополнительного соглашения к соглашению в части</w:t>
      </w:r>
      <w:r>
        <w:rPr>
          <w:rFonts w:ascii="Times New Roman" w:hAnsi="Times New Roman"/>
          <w:sz w:val="28"/>
        </w:rPr>
        <w:t xml:space="preserve"> перемены лица в обязательстве с указанием стороны в соглашении иного лица, являющегося правопреемником. Дополнительное соглашение к соглашению заключается в течение 10 рабочих дней со дня получения Администрацией уведомления о прекращении деятельности получателя субсидии.</w:t>
      </w:r>
    </w:p>
    <w:p w14:paraId="8A000000">
      <w:pPr>
        <w:pStyle w:val="Style_5"/>
        <w:ind w:firstLine="709" w:left="0"/>
        <w:jc w:val="both"/>
        <w:rPr>
          <w:rFonts w:ascii="Times New Roman" w:hAnsi="Times New Roman"/>
          <w:sz w:val="28"/>
        </w:rPr>
      </w:pPr>
      <w:r>
        <w:rPr>
          <w:rFonts w:ascii="Times New Roman" w:hAnsi="Times New Roman"/>
          <w:sz w:val="28"/>
        </w:rPr>
        <w:t>2.14. В течение 10 рабочих дней со дня подписания соглашения Администрация представляет в финансовое управление администрации Прокопьевского муниципального округа постановление Администрации о предоставлении субсидии на перечисление денежных средств, а также копию соглашения.</w:t>
      </w:r>
    </w:p>
    <w:p w14:paraId="8B000000">
      <w:pPr>
        <w:pStyle w:val="Style_5"/>
        <w:ind w:firstLine="709" w:left="0"/>
        <w:jc w:val="both"/>
        <w:rPr>
          <w:rFonts w:ascii="Times New Roman" w:hAnsi="Times New Roman"/>
          <w:sz w:val="28"/>
        </w:rPr>
      </w:pPr>
      <w:r>
        <w:rPr>
          <w:rFonts w:ascii="Times New Roman" w:hAnsi="Times New Roman"/>
          <w:sz w:val="28"/>
        </w:rPr>
        <w:t>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субсидии на лицевой счет Администрации, в порядке, установленном для исполнения бюджета Прокопьевского муниципального округа.</w:t>
      </w:r>
    </w:p>
    <w:p w14:paraId="8C000000">
      <w:pPr>
        <w:pStyle w:val="Style_5"/>
        <w:ind w:firstLine="709" w:left="0"/>
        <w:jc w:val="both"/>
        <w:rPr>
          <w:rFonts w:ascii="Times New Roman" w:hAnsi="Times New Roman"/>
          <w:sz w:val="28"/>
        </w:rPr>
      </w:pPr>
      <w:r>
        <w:rPr>
          <w:rFonts w:ascii="Times New Roman" w:hAnsi="Times New Roman"/>
          <w:sz w:val="28"/>
        </w:rPr>
        <w:t>2.15. Администрация в течение 10 рабочих дней со дня поступления средств субсидии перечисляет их на расчетные или корреспондентские счета, открытые получателем субсидии в учреждениях Центрального банка Российской Федерации или кредитных организациях.</w:t>
      </w:r>
    </w:p>
    <w:p w14:paraId="8D000000">
      <w:pPr>
        <w:pStyle w:val="Style_5"/>
        <w:ind w:firstLine="709" w:left="0"/>
        <w:jc w:val="both"/>
        <w:rPr>
          <w:rFonts w:ascii="Times New Roman" w:hAnsi="Times New Roman"/>
          <w:sz w:val="28"/>
        </w:rPr>
      </w:pPr>
      <w:r>
        <w:rPr>
          <w:rFonts w:ascii="Times New Roman" w:hAnsi="Times New Roman"/>
          <w:sz w:val="28"/>
        </w:rPr>
        <w:t xml:space="preserve">2.16. </w:t>
      </w:r>
      <w:r>
        <w:rPr>
          <w:rFonts w:ascii="Times New Roman" w:hAnsi="Times New Roman"/>
          <w:sz w:val="28"/>
        </w:rPr>
        <w:t xml:space="preserve">В случае призыва получателя субсидии на военную службу по мобилизации или прохождения получателем субсидии военной службы по контракту исполнение обязательств по соглашению приостанавливается на срок прохождения военной службы по мобилизации или прохождения военной службы по контракту с последующим продлением сроков достижения результата предоставления субсидии без изменения размера субсидии или отказом от субсидии по согласованию с Администрацией. </w:t>
      </w:r>
    </w:p>
    <w:p w14:paraId="8E000000">
      <w:pPr>
        <w:pStyle w:val="Style_5"/>
        <w:ind w:firstLine="709" w:left="0"/>
        <w:jc w:val="both"/>
        <w:rPr>
          <w:rFonts w:ascii="Times New Roman" w:hAnsi="Times New Roman"/>
          <w:sz w:val="28"/>
        </w:rPr>
      </w:pPr>
      <w:r>
        <w:rPr>
          <w:rFonts w:ascii="Times New Roman" w:hAnsi="Times New Roman"/>
          <w:sz w:val="28"/>
        </w:rPr>
        <w:t>Получатель субсидии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 по контракту представляет в Администрацию копию документа, подтверждающего его нахождение в период действия соглашения на военной службе (военный билет и (или) контракт о прохождении военной службы по контракту) с предъявлением подлинника.</w:t>
      </w:r>
    </w:p>
    <w:p w14:paraId="8F000000">
      <w:pPr>
        <w:pStyle w:val="Style_5"/>
        <w:ind w:firstLine="709" w:left="0"/>
        <w:jc w:val="both"/>
        <w:rPr>
          <w:rFonts w:ascii="Times New Roman" w:hAnsi="Times New Roman"/>
          <w:sz w:val="28"/>
        </w:rPr>
      </w:pPr>
      <w:r>
        <w:rPr>
          <w:rFonts w:ascii="Times New Roman" w:hAnsi="Times New Roman"/>
          <w:sz w:val="28"/>
        </w:rPr>
        <w:t>При представлении копий документов с подлинниками специалист Администрации делает на копии отметк</w:t>
      </w:r>
      <w:r>
        <w:rPr>
          <w:rFonts w:ascii="Times New Roman" w:hAnsi="Times New Roman"/>
          <w:sz w:val="28"/>
        </w:rPr>
        <w:t>у о ее</w:t>
      </w:r>
      <w:r>
        <w:rPr>
          <w:rFonts w:ascii="Times New Roman" w:hAnsi="Times New Roman"/>
          <w:sz w:val="28"/>
        </w:rPr>
        <w:t xml:space="preserve"> соответствии подлиннику и возвращает подлинники получателю субсидии (представителю получателя субсидии) при личном представлении - в день их представления, при направлении курьером или посредством почтовой связи - в течение 3 рабочих дней со дня регистрации документов в Администрации.</w:t>
      </w:r>
    </w:p>
    <w:p w14:paraId="90000000">
      <w:pPr>
        <w:pStyle w:val="Style_5"/>
        <w:ind w:firstLine="709" w:left="0"/>
        <w:jc w:val="both"/>
        <w:rPr>
          <w:rFonts w:ascii="Times New Roman" w:hAnsi="Times New Roman"/>
          <w:sz w:val="28"/>
        </w:rPr>
      </w:pPr>
      <w:r>
        <w:rPr>
          <w:rFonts w:ascii="Times New Roman" w:hAnsi="Times New Roman"/>
          <w:sz w:val="28"/>
        </w:rPr>
        <w:t xml:space="preserve">Администрация обеспечивает подготовку дополнительного соглашения к соглашению в течение 5 рабочих дней со дня получения документа в части продления </w:t>
      </w:r>
      <w:r>
        <w:rPr>
          <w:rFonts w:ascii="Times New Roman" w:hAnsi="Times New Roman"/>
          <w:sz w:val="28"/>
        </w:rPr>
        <w:t>сроков достижения результата предоставления субсидии</w:t>
      </w:r>
      <w:r>
        <w:rPr>
          <w:rFonts w:ascii="Times New Roman" w:hAnsi="Times New Roman"/>
          <w:sz w:val="28"/>
        </w:rPr>
        <w:t xml:space="preserve"> без </w:t>
      </w:r>
      <w:r>
        <w:rPr>
          <w:rFonts w:ascii="Times New Roman" w:hAnsi="Times New Roman"/>
          <w:sz w:val="28"/>
        </w:rPr>
        <w:t>изменения размера субсидии и (или) продления сроков представления отчетности, предусмотренной пунктом 3.1 настоящего Порядка.</w:t>
      </w:r>
    </w:p>
    <w:p w14:paraId="91000000">
      <w:pPr>
        <w:spacing w:after="0" w:line="240" w:lineRule="auto"/>
        <w:ind w:firstLine="709" w:left="0"/>
        <w:jc w:val="both"/>
        <w:rPr>
          <w:rFonts w:ascii="Times New Roman" w:hAnsi="Times New Roman"/>
          <w:color w:val="000000"/>
          <w:sz w:val="28"/>
        </w:rPr>
      </w:pPr>
    </w:p>
    <w:p w14:paraId="92000000">
      <w:pPr>
        <w:spacing w:after="0" w:line="240" w:lineRule="auto"/>
        <w:ind/>
        <w:jc w:val="center"/>
        <w:rPr>
          <w:rFonts w:ascii="Times New Roman" w:hAnsi="Times New Roman"/>
          <w:b w:val="1"/>
          <w:sz w:val="28"/>
          <w:highlight w:val="white"/>
        </w:rPr>
      </w:pPr>
      <w:r>
        <w:rPr>
          <w:rFonts w:ascii="Times New Roman" w:hAnsi="Times New Roman"/>
          <w:b w:val="1"/>
          <w:sz w:val="28"/>
          <w:highlight w:val="white"/>
        </w:rPr>
        <w:t>3. Требования к представлению отчетности, осуществлению</w:t>
      </w:r>
    </w:p>
    <w:p w14:paraId="93000000">
      <w:pPr>
        <w:spacing w:after="0" w:line="240" w:lineRule="auto"/>
        <w:ind/>
        <w:jc w:val="center"/>
        <w:rPr>
          <w:rFonts w:ascii="Times New Roman" w:hAnsi="Times New Roman"/>
          <w:b w:val="1"/>
          <w:sz w:val="28"/>
          <w:highlight w:val="white"/>
        </w:rPr>
      </w:pPr>
      <w:r>
        <w:rPr>
          <w:rFonts w:ascii="Times New Roman" w:hAnsi="Times New Roman"/>
          <w:b w:val="1"/>
          <w:sz w:val="28"/>
          <w:highlight w:val="white"/>
        </w:rPr>
        <w:t>контроля (мониторинга) за соблюдением условий и порядка</w:t>
      </w:r>
    </w:p>
    <w:p w14:paraId="94000000">
      <w:pPr>
        <w:spacing w:after="0" w:line="240" w:lineRule="auto"/>
        <w:ind/>
        <w:jc w:val="center"/>
        <w:rPr>
          <w:rFonts w:ascii="Times New Roman" w:hAnsi="Times New Roman"/>
          <w:b w:val="1"/>
          <w:sz w:val="28"/>
          <w:highlight w:val="white"/>
        </w:rPr>
      </w:pPr>
      <w:r>
        <w:rPr>
          <w:rFonts w:ascii="Times New Roman" w:hAnsi="Times New Roman"/>
          <w:b w:val="1"/>
          <w:sz w:val="28"/>
          <w:highlight w:val="white"/>
        </w:rPr>
        <w:t xml:space="preserve">предоставления </w:t>
      </w:r>
      <w:r>
        <w:rPr>
          <w:rFonts w:ascii="Times New Roman" w:hAnsi="Times New Roman"/>
          <w:b w:val="1"/>
          <w:sz w:val="28"/>
          <w:highlight w:val="white"/>
        </w:rPr>
        <w:t>субсидии</w:t>
      </w:r>
      <w:r>
        <w:rPr>
          <w:rFonts w:ascii="Times New Roman" w:hAnsi="Times New Roman"/>
          <w:b w:val="1"/>
          <w:sz w:val="28"/>
          <w:highlight w:val="white"/>
        </w:rPr>
        <w:t xml:space="preserve"> и ответственности за их нарушение</w:t>
      </w:r>
    </w:p>
    <w:p w14:paraId="95000000">
      <w:pPr>
        <w:spacing w:after="0" w:line="240" w:lineRule="auto"/>
        <w:ind w:firstLine="709" w:left="0"/>
        <w:jc w:val="center"/>
        <w:rPr>
          <w:rFonts w:ascii="Times New Roman" w:hAnsi="Times New Roman"/>
          <w:b w:val="1"/>
          <w:sz w:val="28"/>
          <w:highlight w:val="white"/>
        </w:rPr>
      </w:pPr>
    </w:p>
    <w:p w14:paraId="96000000">
      <w:pPr>
        <w:spacing w:after="0" w:line="240" w:lineRule="auto"/>
        <w:ind w:firstLine="851" w:left="0"/>
        <w:jc w:val="both"/>
        <w:rPr>
          <w:rFonts w:ascii="Times New Roman" w:hAnsi="Times New Roman"/>
          <w:sz w:val="28"/>
        </w:rPr>
      </w:pPr>
      <w:r>
        <w:rPr>
          <w:rFonts w:ascii="Times New Roman" w:hAnsi="Times New Roman"/>
          <w:sz w:val="28"/>
        </w:rPr>
        <w:t xml:space="preserve">3.1. Получатели </w:t>
      </w:r>
      <w:r>
        <w:rPr>
          <w:rFonts w:ascii="Times New Roman" w:hAnsi="Times New Roman"/>
          <w:sz w:val="28"/>
        </w:rPr>
        <w:t>субсидии</w:t>
      </w:r>
      <w:r>
        <w:rPr>
          <w:rFonts w:ascii="Times New Roman" w:hAnsi="Times New Roman"/>
          <w:sz w:val="28"/>
        </w:rPr>
        <w:t xml:space="preserve"> представляют:</w:t>
      </w:r>
    </w:p>
    <w:p w14:paraId="97000000">
      <w:pPr>
        <w:spacing w:after="0" w:line="240" w:lineRule="auto"/>
        <w:ind w:firstLine="851" w:left="0"/>
        <w:jc w:val="both"/>
        <w:rPr>
          <w:rFonts w:ascii="Times New Roman" w:hAnsi="Times New Roman"/>
          <w:sz w:val="28"/>
        </w:rPr>
      </w:pPr>
      <w:r>
        <w:rPr>
          <w:rFonts w:ascii="Times New Roman" w:hAnsi="Times New Roman"/>
          <w:sz w:val="28"/>
        </w:rPr>
        <w:t>в системе «Электронный бюджет»: отчет о реализации плана мероприятий по достижению результатов предоставления субсидии, до полной реализации плана в установленные сроки реализации;</w:t>
      </w:r>
    </w:p>
    <w:p w14:paraId="98000000">
      <w:pPr>
        <w:spacing w:after="0" w:line="240" w:lineRule="auto"/>
        <w:ind w:firstLine="851" w:left="0"/>
        <w:jc w:val="both"/>
        <w:rPr>
          <w:rFonts w:ascii="Times New Roman" w:hAnsi="Times New Roman"/>
          <w:sz w:val="28"/>
        </w:rPr>
      </w:pPr>
      <w:r>
        <w:rPr>
          <w:rFonts w:ascii="Times New Roman" w:hAnsi="Times New Roman"/>
          <w:sz w:val="28"/>
        </w:rPr>
        <w:t>3.2. Срок рассмотрения отчета Администрацией - 30 рабочих дней со дня поступления отчета в Администрацию.</w:t>
      </w:r>
    </w:p>
    <w:p w14:paraId="99000000">
      <w:pPr>
        <w:spacing w:after="0" w:line="240" w:lineRule="auto"/>
        <w:ind w:firstLine="851" w:left="0"/>
        <w:jc w:val="both"/>
        <w:rPr>
          <w:rFonts w:ascii="Times New Roman" w:hAnsi="Times New Roman"/>
          <w:sz w:val="28"/>
        </w:rPr>
      </w:pPr>
      <w:r>
        <w:rPr>
          <w:rFonts w:ascii="Times New Roman" w:hAnsi="Times New Roman"/>
          <w:sz w:val="28"/>
        </w:rPr>
        <w:t>В случае соответствия отчета установленным форме и требованиям к его содержанию, указанным в соглашении, отчет принимается Администрацией.</w:t>
      </w:r>
    </w:p>
    <w:p w14:paraId="9A000000">
      <w:pPr>
        <w:spacing w:after="0" w:line="240" w:lineRule="auto"/>
        <w:ind w:firstLine="851" w:left="0"/>
        <w:jc w:val="both"/>
        <w:rPr>
          <w:rFonts w:ascii="Times New Roman" w:hAnsi="Times New Roman"/>
          <w:sz w:val="28"/>
        </w:rPr>
      </w:pPr>
      <w:r>
        <w:rPr>
          <w:rFonts w:ascii="Times New Roman" w:hAnsi="Times New Roman"/>
          <w:sz w:val="28"/>
        </w:rPr>
        <w:t>При наличии замечаний к отчету в срок 20 рабочих дней Администрацией направляется получателю субсидии письменный отказ в принятии отчета с указанием причин отказа.</w:t>
      </w:r>
    </w:p>
    <w:p w14:paraId="9B000000">
      <w:pPr>
        <w:spacing w:after="0" w:line="240" w:lineRule="auto"/>
        <w:ind w:firstLine="851" w:left="0"/>
        <w:jc w:val="both"/>
        <w:rPr>
          <w:rFonts w:ascii="Times New Roman" w:hAnsi="Times New Roman"/>
          <w:sz w:val="28"/>
        </w:rPr>
      </w:pPr>
      <w:r>
        <w:rPr>
          <w:rFonts w:ascii="Times New Roman" w:hAnsi="Times New Roman"/>
          <w:sz w:val="28"/>
        </w:rPr>
        <w:t>Получатель субсидии обязан устранить замечания, указанные Администрацией, в течение 3 рабочих дней и повторно представить отчет в Администрацию.</w:t>
      </w:r>
    </w:p>
    <w:p w14:paraId="9C000000">
      <w:pPr>
        <w:spacing w:after="0" w:line="240" w:lineRule="auto"/>
        <w:ind w:firstLine="851" w:left="0"/>
        <w:jc w:val="both"/>
        <w:rPr>
          <w:rFonts w:ascii="Times New Roman" w:hAnsi="Times New Roman"/>
          <w:sz w:val="28"/>
        </w:rPr>
      </w:pPr>
      <w:r>
        <w:rPr>
          <w:rFonts w:ascii="Times New Roman" w:hAnsi="Times New Roman"/>
          <w:sz w:val="28"/>
        </w:rPr>
        <w:t>Повторно отчет, представленный получателем субсидии, рассматривается Администрацией в порядке, установленном настоящим пунктом.</w:t>
      </w:r>
    </w:p>
    <w:p w14:paraId="9D000000">
      <w:pPr>
        <w:spacing w:after="0" w:line="240" w:lineRule="auto"/>
        <w:ind w:firstLine="851" w:left="0"/>
        <w:jc w:val="both"/>
        <w:rPr>
          <w:rFonts w:ascii="Times New Roman" w:hAnsi="Times New Roman"/>
          <w:sz w:val="28"/>
        </w:rPr>
      </w:pPr>
      <w:r>
        <w:rPr>
          <w:rFonts w:ascii="Times New Roman" w:hAnsi="Times New Roman"/>
          <w:sz w:val="28"/>
        </w:rPr>
        <w:t>3.3. Ответственность за достоверность представленной информации возлагается на получателя субсидии.</w:t>
      </w:r>
    </w:p>
    <w:p w14:paraId="9E000000">
      <w:pPr>
        <w:spacing w:after="0" w:line="240" w:lineRule="auto"/>
        <w:ind w:firstLine="851" w:left="0"/>
        <w:jc w:val="both"/>
        <w:rPr>
          <w:rFonts w:ascii="Times New Roman" w:hAnsi="Times New Roman"/>
          <w:sz w:val="28"/>
        </w:rPr>
      </w:pPr>
      <w:r>
        <w:rPr>
          <w:rFonts w:ascii="Times New Roman" w:hAnsi="Times New Roman"/>
          <w:sz w:val="28"/>
        </w:rPr>
        <w:t>3.4. Администрация осуществляет проверки соблюдения порядка и условий предоставления субсидии, в том числе в части достижения результатов их предоставления (далее - проверки). Органы муниципального финансового контроля Администрации в пределах своих полномочий осуществляют проверки в соответствии со статьями 268.1 и 269.2 Бюджетного кодекса Российской Федерации.</w:t>
      </w:r>
    </w:p>
    <w:p w14:paraId="9F000000">
      <w:pPr>
        <w:spacing w:after="0" w:line="240" w:lineRule="auto"/>
        <w:ind w:firstLine="851" w:left="0"/>
        <w:jc w:val="both"/>
        <w:rPr>
          <w:rFonts w:ascii="Times New Roman" w:hAnsi="Times New Roman"/>
          <w:sz w:val="28"/>
        </w:rPr>
      </w:pPr>
      <w:r>
        <w:rPr>
          <w:rFonts w:ascii="Times New Roman" w:hAnsi="Times New Roman"/>
          <w:sz w:val="28"/>
        </w:rPr>
        <w:t>Администрация осуществляет контроль путем проведения плановых и (или) внеплановых проверок.</w:t>
      </w:r>
    </w:p>
    <w:p w14:paraId="A0000000">
      <w:pPr>
        <w:spacing w:after="0" w:line="240" w:lineRule="auto"/>
        <w:ind w:firstLine="851" w:left="0"/>
        <w:jc w:val="both"/>
        <w:rPr>
          <w:rFonts w:ascii="Times New Roman" w:hAnsi="Times New Roman"/>
          <w:sz w:val="28"/>
        </w:rPr>
      </w:pPr>
      <w:r>
        <w:rPr>
          <w:rFonts w:ascii="Times New Roman" w:hAnsi="Times New Roman"/>
          <w:sz w:val="28"/>
        </w:rPr>
        <w:t>Администрация осуществляет мониторинг достижения результатов исходя из достижения значений результатов, определенных соглашением, и событий, отражающих факт завершения соответствующего мероприятия по получению результата (контрольная точка), в порядке и по формам, которые установлены приказом финансового управления администрации Прокопьевского муниципального округа от 19.10.2022 № 28-МО «Об утверждении Типовой формы соглашения (договора) о предоставлении из местного бюджета субсидий, в том числе грантов в форме субсидий</w:t>
      </w:r>
      <w:r>
        <w:rPr>
          <w:rFonts w:ascii="Times New Roman" w:hAnsi="Times New Roman"/>
          <w:sz w:val="28"/>
        </w:rPr>
        <w:t>, юридическим лицам, индивидуальным предпринимателям, а также физическим лицам».</w:t>
      </w:r>
    </w:p>
    <w:p w14:paraId="A1000000">
      <w:pPr>
        <w:spacing w:after="0" w:line="240" w:lineRule="auto"/>
        <w:ind w:firstLine="851" w:left="0"/>
        <w:jc w:val="both"/>
        <w:rPr>
          <w:rFonts w:ascii="Times New Roman" w:hAnsi="Times New Roman"/>
          <w:sz w:val="28"/>
        </w:rPr>
      </w:pPr>
      <w:r>
        <w:rPr>
          <w:rFonts w:ascii="Times New Roman" w:hAnsi="Times New Roman"/>
          <w:sz w:val="28"/>
        </w:rPr>
        <w:t xml:space="preserve">Администрация в течение 3 лет </w:t>
      </w:r>
      <w:r>
        <w:rPr>
          <w:rFonts w:ascii="Times New Roman" w:hAnsi="Times New Roman"/>
          <w:sz w:val="28"/>
        </w:rPr>
        <w:t>с даты предоставления</w:t>
      </w:r>
      <w:r>
        <w:rPr>
          <w:rFonts w:ascii="Times New Roman" w:hAnsi="Times New Roman"/>
          <w:sz w:val="28"/>
        </w:rPr>
        <w:t xml:space="preserve"> субсидии осуществляет мониторинг деятельности получателя субсидии.</w:t>
      </w:r>
    </w:p>
    <w:p w14:paraId="A2000000">
      <w:pPr>
        <w:spacing w:after="0" w:line="240" w:lineRule="auto"/>
        <w:ind w:firstLine="851" w:left="0"/>
        <w:jc w:val="both"/>
        <w:rPr>
          <w:rFonts w:ascii="Times New Roman" w:hAnsi="Times New Roman"/>
          <w:sz w:val="28"/>
        </w:rPr>
      </w:pPr>
      <w:r>
        <w:rPr>
          <w:rFonts w:ascii="Times New Roman" w:hAnsi="Times New Roman"/>
          <w:sz w:val="28"/>
        </w:rPr>
        <w:t>3.5. Получатель субсидии несет ответственность за нарушение условий и порядка предоставления субсидии.</w:t>
      </w:r>
    </w:p>
    <w:p w14:paraId="A3000000">
      <w:pPr>
        <w:spacing w:after="0" w:line="240" w:lineRule="auto"/>
        <w:ind w:firstLine="851" w:left="0"/>
        <w:jc w:val="both"/>
        <w:rPr>
          <w:rFonts w:ascii="Times New Roman" w:hAnsi="Times New Roman"/>
          <w:sz w:val="28"/>
        </w:rPr>
      </w:pPr>
      <w:r>
        <w:rPr>
          <w:rFonts w:ascii="Times New Roman" w:hAnsi="Times New Roman"/>
          <w:sz w:val="28"/>
        </w:rPr>
        <w:t>3.6. Субсидия подлежит возврату в следующих случаях и размере:</w:t>
      </w:r>
    </w:p>
    <w:p w14:paraId="A4000000">
      <w:pPr>
        <w:spacing w:after="0" w:line="240" w:lineRule="auto"/>
        <w:ind w:firstLine="851" w:left="0"/>
        <w:jc w:val="both"/>
        <w:rPr>
          <w:rFonts w:ascii="Times New Roman" w:hAnsi="Times New Roman"/>
          <w:sz w:val="28"/>
        </w:rPr>
      </w:pPr>
      <w:r>
        <w:rPr>
          <w:rFonts w:ascii="Times New Roman" w:hAnsi="Times New Roman"/>
          <w:sz w:val="28"/>
        </w:rPr>
        <w:t>непредставления получателем субсидии установленной соглашением отчетности - в полном объеме;</w:t>
      </w:r>
    </w:p>
    <w:p w14:paraId="A5000000">
      <w:pPr>
        <w:spacing w:after="0" w:line="240" w:lineRule="auto"/>
        <w:ind w:firstLine="851" w:left="0"/>
        <w:jc w:val="both"/>
        <w:rPr>
          <w:rFonts w:ascii="Times New Roman" w:hAnsi="Times New Roman"/>
          <w:sz w:val="28"/>
        </w:rPr>
      </w:pPr>
      <w:r>
        <w:rPr>
          <w:rFonts w:ascii="Times New Roman" w:hAnsi="Times New Roman"/>
          <w:sz w:val="28"/>
        </w:rPr>
        <w:t>представления получателем субсидии документов, содержащих недостоверные сведения, - в полном объеме;</w:t>
      </w:r>
    </w:p>
    <w:p w14:paraId="A6000000">
      <w:pPr>
        <w:spacing w:after="0" w:line="240" w:lineRule="auto"/>
        <w:ind w:firstLine="851" w:left="0"/>
        <w:jc w:val="both"/>
        <w:rPr>
          <w:rFonts w:ascii="Times New Roman" w:hAnsi="Times New Roman"/>
          <w:sz w:val="28"/>
        </w:rPr>
      </w:pPr>
      <w:r>
        <w:rPr>
          <w:rFonts w:ascii="Times New Roman" w:hAnsi="Times New Roman"/>
          <w:sz w:val="28"/>
        </w:rPr>
        <w:t>установления факта нарушения получателем субсидии условий и порядка предоставления субсидии - в полном объеме;</w:t>
      </w:r>
    </w:p>
    <w:p w14:paraId="A7000000">
      <w:pPr>
        <w:spacing w:after="0" w:line="240" w:lineRule="auto"/>
        <w:ind w:firstLine="851" w:left="0"/>
        <w:jc w:val="both"/>
        <w:rPr>
          <w:rFonts w:ascii="Times New Roman" w:hAnsi="Times New Roman"/>
          <w:sz w:val="28"/>
        </w:rPr>
      </w:pPr>
      <w:r>
        <w:rPr>
          <w:rFonts w:ascii="Times New Roman" w:hAnsi="Times New Roman"/>
          <w:sz w:val="28"/>
        </w:rPr>
        <w:t>нецелевого использования - в размере его нецелевого использования.</w:t>
      </w:r>
    </w:p>
    <w:p w14:paraId="A8000000">
      <w:pPr>
        <w:spacing w:after="0" w:line="240" w:lineRule="auto"/>
        <w:ind w:firstLine="851" w:left="0"/>
        <w:jc w:val="both"/>
        <w:rPr>
          <w:rFonts w:ascii="Times New Roman" w:hAnsi="Times New Roman"/>
          <w:sz w:val="28"/>
        </w:rPr>
      </w:pPr>
      <w:r>
        <w:rPr>
          <w:rFonts w:ascii="Times New Roman" w:hAnsi="Times New Roman"/>
          <w:sz w:val="28"/>
        </w:rPr>
        <w:t>3.7. В случае выявления фактов, указанных в пункте 3.6 настоящего Порядка, Администрация почтовым отправлением с уведомлением о вручении и (или) на адрес электронной почты направляет получателю субсидии письменное уведомление с требованием об обеспечении возврата субсидии в  бюджет Прокопьевского муниципального округа с указанием платежных реквизитов.</w:t>
      </w:r>
    </w:p>
    <w:p w14:paraId="A9000000">
      <w:pPr>
        <w:spacing w:after="0" w:line="240" w:lineRule="auto"/>
        <w:ind w:firstLine="851" w:left="0"/>
        <w:jc w:val="both"/>
        <w:rPr>
          <w:rFonts w:ascii="Times New Roman" w:hAnsi="Times New Roman"/>
          <w:sz w:val="28"/>
        </w:rPr>
      </w:pPr>
      <w:r>
        <w:rPr>
          <w:rFonts w:ascii="Times New Roman" w:hAnsi="Times New Roman"/>
          <w:sz w:val="28"/>
        </w:rPr>
        <w:t xml:space="preserve">Средства субсидии подлежат возврату в областной бюджет получателем субсидии в течение 10 дней со дня получения им требования об обеспечении возврата субсидии. </w:t>
      </w:r>
    </w:p>
    <w:p w14:paraId="AA000000">
      <w:pPr>
        <w:spacing w:after="0" w:line="240" w:lineRule="auto"/>
        <w:ind w:firstLine="851" w:left="0"/>
        <w:jc w:val="both"/>
        <w:rPr>
          <w:rFonts w:ascii="Times New Roman" w:hAnsi="Times New Roman"/>
          <w:sz w:val="28"/>
        </w:rPr>
      </w:pPr>
      <w:r>
        <w:rPr>
          <w:rFonts w:ascii="Times New Roman" w:hAnsi="Times New Roman"/>
          <w:sz w:val="28"/>
        </w:rPr>
        <w:t>3.8. В случае невозврата получателем субсидии бюджетных средств в установленный срок Администрация в соответствии с действующим законодательством принимает меры по своевременному возврату бюджетных средств, взыскивает бюджетные средства в судебном порядке.</w:t>
      </w:r>
    </w:p>
    <w:p w14:paraId="AB000000">
      <w:pPr>
        <w:spacing w:after="0" w:line="240" w:lineRule="auto"/>
        <w:ind w:firstLine="851" w:left="0"/>
        <w:jc w:val="both"/>
        <w:rPr>
          <w:rFonts w:ascii="Times New Roman" w:hAnsi="Times New Roman"/>
          <w:sz w:val="28"/>
        </w:rPr>
      </w:pPr>
      <w:r>
        <w:rPr>
          <w:rFonts w:ascii="Times New Roman" w:hAnsi="Times New Roman"/>
          <w:sz w:val="28"/>
        </w:rPr>
        <w:t xml:space="preserve">3.9. В случае </w:t>
      </w:r>
      <w:r>
        <w:rPr>
          <w:rFonts w:ascii="Times New Roman" w:hAnsi="Times New Roman"/>
          <w:sz w:val="28"/>
        </w:rPr>
        <w:t>не достижения</w:t>
      </w:r>
      <w:r>
        <w:rPr>
          <w:rFonts w:ascii="Times New Roman" w:hAnsi="Times New Roman"/>
          <w:sz w:val="28"/>
        </w:rPr>
        <w:t xml:space="preserve"> получателем субсидии результатов, установленных в соглашении, Администрация в месячный срок со дня выявления указанных нарушений направляет в адрес получателя субсидии письменное требование об обеспечении возврата субсидии в бюджет Прокопьевского муниципального округа в полном объеме с указанием платежных реквизитов.  </w:t>
      </w:r>
    </w:p>
    <w:p w14:paraId="AC000000">
      <w:pPr>
        <w:spacing w:after="0" w:line="240" w:lineRule="auto"/>
        <w:ind w:firstLine="851" w:left="0"/>
        <w:jc w:val="both"/>
        <w:rPr>
          <w:rFonts w:ascii="Times New Roman" w:hAnsi="Times New Roman"/>
          <w:sz w:val="28"/>
        </w:rPr>
      </w:pPr>
    </w:p>
    <w:p w14:paraId="AD000000">
      <w:pPr>
        <w:spacing w:after="0" w:line="240" w:lineRule="auto"/>
        <w:ind w:firstLine="851" w:left="0"/>
        <w:jc w:val="center"/>
        <w:rPr>
          <w:rFonts w:ascii="Times New Roman" w:hAnsi="Times New Roman"/>
          <w:b w:val="1"/>
          <w:sz w:val="28"/>
        </w:rPr>
      </w:pPr>
      <w:r>
        <w:rPr>
          <w:rFonts w:ascii="Times New Roman" w:hAnsi="Times New Roman"/>
          <w:b w:val="1"/>
          <w:sz w:val="28"/>
        </w:rPr>
        <w:t>4. Порядок проведения отбора получателей субсидии</w:t>
      </w:r>
    </w:p>
    <w:p w14:paraId="AE000000">
      <w:pPr>
        <w:spacing w:after="0" w:line="240" w:lineRule="auto"/>
        <w:ind w:firstLine="851" w:left="0"/>
        <w:jc w:val="both"/>
        <w:rPr>
          <w:rFonts w:ascii="Times New Roman" w:hAnsi="Times New Roman"/>
          <w:sz w:val="28"/>
        </w:rPr>
      </w:pPr>
    </w:p>
    <w:p w14:paraId="AF000000">
      <w:pPr>
        <w:spacing w:after="0" w:line="240" w:lineRule="auto"/>
        <w:ind w:firstLine="851" w:left="0"/>
        <w:jc w:val="both"/>
        <w:rPr>
          <w:rFonts w:ascii="Times New Roman" w:hAnsi="Times New Roman"/>
          <w:sz w:val="28"/>
        </w:rPr>
      </w:pPr>
      <w:r>
        <w:rPr>
          <w:rFonts w:ascii="Times New Roman" w:hAnsi="Times New Roman"/>
          <w:sz w:val="28"/>
        </w:rPr>
        <w:t>4.1. Способом проведения отбора является конкурс, который проводится при определении получателя субсидии исходя из наилучших условий достижения результатов предоставления субсидии.</w:t>
      </w:r>
    </w:p>
    <w:p w14:paraId="B0000000">
      <w:pPr>
        <w:spacing w:after="0" w:line="240" w:lineRule="auto"/>
        <w:ind w:firstLine="851" w:left="0"/>
        <w:jc w:val="both"/>
        <w:rPr>
          <w:rFonts w:ascii="Times New Roman" w:hAnsi="Times New Roman"/>
          <w:sz w:val="28"/>
        </w:rPr>
      </w:pPr>
      <w:r>
        <w:rPr>
          <w:rFonts w:ascii="Times New Roman" w:hAnsi="Times New Roman"/>
          <w:sz w:val="28"/>
        </w:rPr>
        <w:t>4.2. Организатором конкурса является Администрация.</w:t>
      </w:r>
    </w:p>
    <w:p w14:paraId="B1000000">
      <w:pPr>
        <w:spacing w:after="0" w:line="240" w:lineRule="auto"/>
        <w:ind w:firstLine="851" w:left="0"/>
        <w:jc w:val="both"/>
        <w:rPr>
          <w:rFonts w:ascii="Times New Roman" w:hAnsi="Times New Roman"/>
          <w:sz w:val="28"/>
        </w:rPr>
      </w:pPr>
      <w:r>
        <w:rPr>
          <w:rFonts w:ascii="Times New Roman" w:hAnsi="Times New Roman"/>
          <w:sz w:val="28"/>
        </w:rPr>
        <w:t>4.3. Администрация обеспечивает размещение в системе «Электронный бюджет» объявления о проведении отбора не менее чем за 3 рабочих дня до начала конкурса с указанием:</w:t>
      </w:r>
    </w:p>
    <w:p w14:paraId="B2000000">
      <w:pPr>
        <w:spacing w:after="0" w:line="240" w:lineRule="auto"/>
        <w:ind w:firstLine="851" w:left="0"/>
        <w:jc w:val="both"/>
        <w:rPr>
          <w:rFonts w:ascii="Times New Roman" w:hAnsi="Times New Roman"/>
          <w:sz w:val="28"/>
        </w:rPr>
      </w:pPr>
      <w:r>
        <w:rPr>
          <w:rFonts w:ascii="Times New Roman" w:hAnsi="Times New Roman"/>
          <w:sz w:val="28"/>
        </w:rPr>
        <w:t>даты размещения объявления о проведении отбора;</w:t>
      </w:r>
    </w:p>
    <w:p w14:paraId="B3000000">
      <w:pPr>
        <w:spacing w:after="0" w:line="240" w:lineRule="auto"/>
        <w:ind w:firstLine="851" w:left="0"/>
        <w:jc w:val="both"/>
        <w:rPr>
          <w:rFonts w:ascii="Times New Roman" w:hAnsi="Times New Roman"/>
          <w:sz w:val="28"/>
        </w:rPr>
      </w:pPr>
      <w:r>
        <w:rPr>
          <w:rFonts w:ascii="Times New Roman" w:hAnsi="Times New Roman"/>
          <w:sz w:val="28"/>
        </w:rPr>
        <w:t>сроков проведения отбора, а также информации об этапах отбора с указанием сроков и порядка их проведения;</w:t>
      </w:r>
    </w:p>
    <w:p w14:paraId="B4000000">
      <w:pPr>
        <w:spacing w:after="0" w:line="240" w:lineRule="auto"/>
        <w:ind w:firstLine="851" w:left="0"/>
        <w:jc w:val="both"/>
        <w:rPr>
          <w:rFonts w:ascii="Times New Roman" w:hAnsi="Times New Roman"/>
          <w:sz w:val="28"/>
        </w:rPr>
      </w:pPr>
      <w:r>
        <w:rPr>
          <w:rFonts w:ascii="Times New Roman" w:hAnsi="Times New Roman"/>
          <w:sz w:val="28"/>
        </w:rPr>
        <w:t>даты начала подачи и окончания приема заявок на участие в отборе претендентов, при этом дата окончания приема заявок не может быть ранее 30-го календарного дня, следующего за днем размещения объявления о проведении отбора;</w:t>
      </w:r>
    </w:p>
    <w:p w14:paraId="B5000000">
      <w:pPr>
        <w:spacing w:after="0" w:line="240" w:lineRule="auto"/>
        <w:ind w:firstLine="851" w:left="0"/>
        <w:jc w:val="both"/>
        <w:rPr>
          <w:rFonts w:ascii="Times New Roman" w:hAnsi="Times New Roman"/>
          <w:sz w:val="28"/>
        </w:rPr>
      </w:pPr>
      <w:r>
        <w:rPr>
          <w:rFonts w:ascii="Times New Roman" w:hAnsi="Times New Roman"/>
          <w:sz w:val="28"/>
        </w:rPr>
        <w:t>наименования, места нахождения, почтового адреса, адреса электронной почты Администрации;</w:t>
      </w:r>
    </w:p>
    <w:p w14:paraId="B6000000">
      <w:pPr>
        <w:spacing w:after="0" w:line="240" w:lineRule="auto"/>
        <w:ind w:firstLine="851" w:left="0"/>
        <w:jc w:val="both"/>
        <w:rPr>
          <w:rFonts w:ascii="Times New Roman" w:hAnsi="Times New Roman"/>
          <w:sz w:val="28"/>
        </w:rPr>
      </w:pPr>
      <w:r>
        <w:rPr>
          <w:rFonts w:ascii="Times New Roman" w:hAnsi="Times New Roman"/>
          <w:sz w:val="28"/>
        </w:rPr>
        <w:t>результатов предоставления субсидии;</w:t>
      </w:r>
    </w:p>
    <w:p w14:paraId="B7000000">
      <w:pPr>
        <w:spacing w:after="0" w:line="240" w:lineRule="auto"/>
        <w:ind w:firstLine="851" w:left="0"/>
        <w:jc w:val="both"/>
        <w:rPr>
          <w:rFonts w:ascii="Times New Roman" w:hAnsi="Times New Roman"/>
          <w:sz w:val="28"/>
        </w:rPr>
      </w:pPr>
      <w:r>
        <w:rPr>
          <w:rFonts w:ascii="Times New Roman" w:hAnsi="Times New Roman"/>
          <w:sz w:val="28"/>
        </w:rPr>
        <w:t>доменного имени и (или) указателей страниц в системе «Электронный бюджет»;</w:t>
      </w:r>
    </w:p>
    <w:p w14:paraId="B8000000">
      <w:pPr>
        <w:spacing w:after="0" w:line="240" w:lineRule="auto"/>
        <w:ind w:firstLine="851" w:left="0"/>
        <w:jc w:val="both"/>
        <w:rPr>
          <w:rFonts w:ascii="Times New Roman" w:hAnsi="Times New Roman"/>
          <w:sz w:val="28"/>
        </w:rPr>
      </w:pPr>
      <w:r>
        <w:rPr>
          <w:rFonts w:ascii="Times New Roman" w:hAnsi="Times New Roman"/>
          <w:sz w:val="28"/>
        </w:rPr>
        <w:t>требований к претендентам в соответствии с пунктом 2.1 настоящего Порядка и перечня документов в соответствии с пунктом 2.4 настоящего Порядка, представляемых претендентами для подтверждения их соответствия указанным требованиям;</w:t>
      </w:r>
    </w:p>
    <w:p w14:paraId="B9000000">
      <w:pPr>
        <w:spacing w:after="0" w:line="240" w:lineRule="auto"/>
        <w:ind w:firstLine="851" w:left="0"/>
        <w:jc w:val="both"/>
        <w:rPr>
          <w:rFonts w:ascii="Times New Roman" w:hAnsi="Times New Roman"/>
          <w:sz w:val="28"/>
        </w:rPr>
      </w:pPr>
      <w:r>
        <w:rPr>
          <w:rFonts w:ascii="Times New Roman" w:hAnsi="Times New Roman"/>
          <w:sz w:val="28"/>
        </w:rPr>
        <w:t>категорий получателей субсидии и критериев оценки заявок;</w:t>
      </w:r>
    </w:p>
    <w:p w14:paraId="BA000000">
      <w:pPr>
        <w:spacing w:after="0" w:line="240" w:lineRule="auto"/>
        <w:ind w:firstLine="851" w:left="0"/>
        <w:jc w:val="both"/>
        <w:rPr>
          <w:rFonts w:ascii="Times New Roman" w:hAnsi="Times New Roman"/>
          <w:sz w:val="28"/>
        </w:rPr>
      </w:pPr>
      <w:r>
        <w:rPr>
          <w:rFonts w:ascii="Times New Roman" w:hAnsi="Times New Roman"/>
          <w:sz w:val="28"/>
        </w:rPr>
        <w:t>порядка подачи заявок претендентами и требований, предъявляемых к форме и содержанию заявок;</w:t>
      </w:r>
    </w:p>
    <w:p w14:paraId="BB000000">
      <w:pPr>
        <w:spacing w:after="0" w:line="240" w:lineRule="auto"/>
        <w:ind w:firstLine="851" w:left="0"/>
        <w:jc w:val="both"/>
        <w:rPr>
          <w:rFonts w:ascii="Times New Roman" w:hAnsi="Times New Roman"/>
          <w:sz w:val="28"/>
        </w:rPr>
      </w:pPr>
      <w:r>
        <w:rPr>
          <w:rFonts w:ascii="Times New Roman" w:hAnsi="Times New Roman"/>
          <w:sz w:val="28"/>
        </w:rPr>
        <w:t xml:space="preserve">порядка отзыва заявок, порядка возврата заявок претендентов, </w:t>
      </w:r>
      <w:r>
        <w:rPr>
          <w:rFonts w:ascii="Times New Roman" w:hAnsi="Times New Roman"/>
          <w:sz w:val="28"/>
        </w:rPr>
        <w:t>определяющего</w:t>
      </w:r>
      <w:r>
        <w:rPr>
          <w:rFonts w:ascii="Times New Roman" w:hAnsi="Times New Roman"/>
          <w:sz w:val="28"/>
        </w:rPr>
        <w:t xml:space="preserve"> в том числе основания для возврата заявок, порядка внесения изменений в заявки;</w:t>
      </w:r>
    </w:p>
    <w:p w14:paraId="BC000000">
      <w:pPr>
        <w:spacing w:after="0" w:line="240" w:lineRule="auto"/>
        <w:ind w:firstLine="851" w:left="0"/>
        <w:jc w:val="both"/>
        <w:rPr>
          <w:rFonts w:ascii="Times New Roman" w:hAnsi="Times New Roman"/>
          <w:sz w:val="28"/>
        </w:rPr>
      </w:pPr>
      <w:r>
        <w:rPr>
          <w:rFonts w:ascii="Times New Roman" w:hAnsi="Times New Roman"/>
          <w:sz w:val="28"/>
        </w:rPr>
        <w:t>правил рассмотрения и оценки заявок претендентов;</w:t>
      </w:r>
    </w:p>
    <w:p w14:paraId="BD000000">
      <w:pPr>
        <w:spacing w:after="0" w:line="240" w:lineRule="auto"/>
        <w:ind w:firstLine="851" w:left="0"/>
        <w:jc w:val="both"/>
        <w:rPr>
          <w:rFonts w:ascii="Times New Roman" w:hAnsi="Times New Roman"/>
          <w:sz w:val="28"/>
        </w:rPr>
      </w:pPr>
      <w:r>
        <w:rPr>
          <w:rFonts w:ascii="Times New Roman" w:hAnsi="Times New Roman"/>
          <w:sz w:val="28"/>
        </w:rPr>
        <w:t>порядка возврата заявок на доработку;</w:t>
      </w:r>
    </w:p>
    <w:p w14:paraId="BE000000">
      <w:pPr>
        <w:spacing w:after="0" w:line="240" w:lineRule="auto"/>
        <w:ind w:firstLine="851" w:left="0"/>
        <w:jc w:val="both"/>
        <w:rPr>
          <w:rFonts w:ascii="Times New Roman" w:hAnsi="Times New Roman"/>
          <w:sz w:val="28"/>
        </w:rPr>
      </w:pPr>
      <w:r>
        <w:rPr>
          <w:rFonts w:ascii="Times New Roman" w:hAnsi="Times New Roman"/>
          <w:sz w:val="28"/>
        </w:rPr>
        <w:t>порядка отклонения заявок, а также информации об основаниях их отклонения;</w:t>
      </w:r>
    </w:p>
    <w:p w14:paraId="BF000000">
      <w:pPr>
        <w:spacing w:after="0" w:line="240" w:lineRule="auto"/>
        <w:ind w:firstLine="851" w:left="0"/>
        <w:jc w:val="both"/>
        <w:rPr>
          <w:rFonts w:ascii="Times New Roman" w:hAnsi="Times New Roman"/>
          <w:sz w:val="28"/>
        </w:rPr>
      </w:pPr>
      <w:r>
        <w:rPr>
          <w:rFonts w:ascii="Times New Roman" w:hAnsi="Times New Roman"/>
          <w:sz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претендентом информацию по каждому критерию оценки, показателю критерия оценки, сведения, документы и материалы, подтверждающие такую информацию;</w:t>
      </w:r>
    </w:p>
    <w:p w14:paraId="C0000000">
      <w:pPr>
        <w:spacing w:after="0" w:line="240" w:lineRule="auto"/>
        <w:ind w:firstLine="851" w:left="0"/>
        <w:jc w:val="both"/>
        <w:rPr>
          <w:rFonts w:ascii="Times New Roman" w:hAnsi="Times New Roman"/>
          <w:sz w:val="28"/>
        </w:rPr>
      </w:pPr>
      <w:r>
        <w:rPr>
          <w:rFonts w:ascii="Times New Roman" w:hAnsi="Times New Roman"/>
          <w:sz w:val="28"/>
        </w:rPr>
        <w:t>сроков оценки заявок, а также информацию об участии конкурсной комиссии в оценке заявок;</w:t>
      </w:r>
    </w:p>
    <w:p w14:paraId="C1000000">
      <w:pPr>
        <w:spacing w:after="0" w:line="240" w:lineRule="auto"/>
        <w:ind w:firstLine="851" w:left="0"/>
        <w:jc w:val="both"/>
        <w:rPr>
          <w:rFonts w:ascii="Times New Roman" w:hAnsi="Times New Roman"/>
          <w:sz w:val="28"/>
        </w:rPr>
      </w:pPr>
      <w:r>
        <w:rPr>
          <w:rFonts w:ascii="Times New Roman" w:hAnsi="Times New Roman"/>
          <w:sz w:val="28"/>
        </w:rPr>
        <w:t>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включают размер субсидии, предоставляемого победителю (победителям) конкурса;</w:t>
      </w:r>
    </w:p>
    <w:p w14:paraId="C2000000">
      <w:pPr>
        <w:spacing w:after="0" w:line="240" w:lineRule="auto"/>
        <w:ind w:firstLine="851" w:left="0"/>
        <w:jc w:val="both"/>
        <w:rPr>
          <w:rFonts w:ascii="Times New Roman" w:hAnsi="Times New Roman"/>
          <w:sz w:val="28"/>
        </w:rPr>
      </w:pPr>
      <w:r>
        <w:rPr>
          <w:rFonts w:ascii="Times New Roman" w:hAnsi="Times New Roman"/>
          <w:sz w:val="28"/>
        </w:rPr>
        <w:t>порядка предоставления претендентам разъяснений положений объявления о проведении отбора, даты начала и окончания срока такого предоставления;</w:t>
      </w:r>
    </w:p>
    <w:p w14:paraId="C3000000">
      <w:pPr>
        <w:spacing w:after="0" w:line="240" w:lineRule="auto"/>
        <w:ind w:firstLine="851" w:left="0"/>
        <w:jc w:val="both"/>
        <w:rPr>
          <w:rFonts w:ascii="Times New Roman" w:hAnsi="Times New Roman"/>
          <w:sz w:val="28"/>
        </w:rPr>
      </w:pPr>
      <w:r>
        <w:rPr>
          <w:rFonts w:ascii="Times New Roman" w:hAnsi="Times New Roman"/>
          <w:sz w:val="28"/>
        </w:rPr>
        <w:t>срока, в течение которого победитель (победители) конкурса должен подписать с Администрацией соглашение;</w:t>
      </w:r>
    </w:p>
    <w:p w14:paraId="C4000000">
      <w:pPr>
        <w:spacing w:after="0" w:line="240" w:lineRule="auto"/>
        <w:ind w:firstLine="851" w:left="0"/>
        <w:jc w:val="both"/>
        <w:rPr>
          <w:rFonts w:ascii="Times New Roman" w:hAnsi="Times New Roman"/>
          <w:sz w:val="28"/>
        </w:rPr>
      </w:pPr>
      <w:r>
        <w:rPr>
          <w:rFonts w:ascii="Times New Roman" w:hAnsi="Times New Roman"/>
          <w:sz w:val="28"/>
        </w:rPr>
        <w:t xml:space="preserve">условий признания победителя (победителей) конкурса </w:t>
      </w:r>
      <w:r>
        <w:rPr>
          <w:rFonts w:ascii="Times New Roman" w:hAnsi="Times New Roman"/>
          <w:sz w:val="28"/>
        </w:rPr>
        <w:t>уклонившимся</w:t>
      </w:r>
      <w:r>
        <w:rPr>
          <w:rFonts w:ascii="Times New Roman" w:hAnsi="Times New Roman"/>
          <w:sz w:val="28"/>
        </w:rPr>
        <w:t xml:space="preserve"> от заключения соглашения;</w:t>
      </w:r>
    </w:p>
    <w:p w14:paraId="C5000000">
      <w:pPr>
        <w:spacing w:after="0" w:line="240" w:lineRule="auto"/>
        <w:ind w:firstLine="851" w:left="0"/>
        <w:jc w:val="both"/>
        <w:rPr>
          <w:rFonts w:ascii="Times New Roman" w:hAnsi="Times New Roman"/>
          <w:sz w:val="28"/>
        </w:rPr>
      </w:pPr>
      <w:r>
        <w:rPr>
          <w:rFonts w:ascii="Times New Roman" w:hAnsi="Times New Roman"/>
          <w:sz w:val="28"/>
        </w:rPr>
        <w:t>срока размещения протокола подведения итогов отбора на едином портале, который не должен быть позднее 14-го календарного дня, следующего за днем определения победител</w:t>
      </w:r>
      <w:r>
        <w:rPr>
          <w:rFonts w:ascii="Times New Roman" w:hAnsi="Times New Roman"/>
          <w:sz w:val="28"/>
        </w:rPr>
        <w:t>я(</w:t>
      </w:r>
      <w:r>
        <w:rPr>
          <w:rFonts w:ascii="Times New Roman" w:hAnsi="Times New Roman"/>
          <w:sz w:val="28"/>
        </w:rPr>
        <w:t>ей) отбора.</w:t>
      </w:r>
    </w:p>
    <w:p w14:paraId="C6000000">
      <w:pPr>
        <w:spacing w:after="0" w:line="240" w:lineRule="auto"/>
        <w:ind w:firstLine="851" w:left="0"/>
        <w:jc w:val="both"/>
        <w:rPr>
          <w:rFonts w:ascii="Times New Roman" w:hAnsi="Times New Roman"/>
          <w:sz w:val="28"/>
        </w:rPr>
      </w:pPr>
      <w:r>
        <w:rPr>
          <w:rFonts w:ascii="Times New Roman" w:hAnsi="Times New Roman"/>
          <w:sz w:val="28"/>
        </w:rPr>
        <w:t>4.4. Взаимодействие между участниками конкурса и Администрацией при проведении отбора осуществляется в системе «Электронный бюджет».</w:t>
      </w:r>
    </w:p>
    <w:p w14:paraId="C7000000">
      <w:pPr>
        <w:spacing w:after="0" w:line="240" w:lineRule="auto"/>
        <w:ind w:firstLine="851" w:left="0"/>
        <w:jc w:val="both"/>
        <w:rPr>
          <w:rFonts w:ascii="Times New Roman" w:hAnsi="Times New Roman"/>
          <w:sz w:val="28"/>
        </w:rPr>
      </w:pPr>
      <w:r>
        <w:rPr>
          <w:rFonts w:ascii="Times New Roman" w:hAnsi="Times New Roman"/>
          <w:sz w:val="28"/>
        </w:rPr>
        <w:t>В период приема заявок, указанный в объявлении о проведении отбора, Администрация представляет претендентам разъяснения положений объявления о проведении отбора путем проведения консультаций и направления информационных сообщений по электронной почте.</w:t>
      </w:r>
    </w:p>
    <w:p w14:paraId="C8000000">
      <w:pPr>
        <w:spacing w:after="0" w:line="240" w:lineRule="auto"/>
        <w:ind w:firstLine="851" w:left="0"/>
        <w:jc w:val="both"/>
        <w:rPr>
          <w:rFonts w:ascii="Times New Roman" w:hAnsi="Times New Roman"/>
          <w:sz w:val="28"/>
        </w:rPr>
      </w:pPr>
      <w:r>
        <w:rPr>
          <w:rFonts w:ascii="Times New Roman" w:hAnsi="Times New Roman"/>
          <w:sz w:val="28"/>
        </w:rPr>
        <w:t>4.5. Претендент представляет заявку в срок, указанный в объявлении. Датой представления заявки считается дата подписания претендентом заявки с присвоением ей регистрационного номера в системе «Электронный бюджет».</w:t>
      </w:r>
    </w:p>
    <w:p w14:paraId="C9000000">
      <w:pPr>
        <w:spacing w:after="0" w:line="240" w:lineRule="auto"/>
        <w:ind w:firstLine="851" w:left="0"/>
        <w:jc w:val="both"/>
        <w:rPr>
          <w:rFonts w:ascii="Times New Roman" w:hAnsi="Times New Roman"/>
          <w:sz w:val="28"/>
        </w:rPr>
      </w:pPr>
      <w:r>
        <w:rPr>
          <w:rFonts w:ascii="Times New Roman" w:hAnsi="Times New Roman"/>
          <w:sz w:val="28"/>
        </w:rPr>
        <w:t>Претендент может отозвать заявку до даты окончания срока подачи заявок путем формирования в системе «Электронный бюджет» в электронной форме уведомления об отзыве заявки, которое подписывается усиленной квалифицированной электронной подписью претендента (руководителя заявителя или уполномоченного им лица), на основании которого Администрация прекращает рассмотрение заявки, возврат заявки осуществляется автоматически после подписания заявителем уведомления об отзыве заявки.</w:t>
      </w:r>
    </w:p>
    <w:p w14:paraId="CA000000">
      <w:pPr>
        <w:spacing w:after="0" w:line="240" w:lineRule="auto"/>
        <w:ind w:firstLine="851" w:left="0"/>
        <w:jc w:val="both"/>
        <w:rPr>
          <w:rFonts w:ascii="Times New Roman" w:hAnsi="Times New Roman"/>
          <w:sz w:val="28"/>
        </w:rPr>
      </w:pPr>
      <w:r>
        <w:rPr>
          <w:rFonts w:ascii="Times New Roman" w:hAnsi="Times New Roman"/>
          <w:sz w:val="28"/>
        </w:rPr>
        <w:t>Каждым претендентом может быть подано не больше одной заявки.</w:t>
      </w:r>
    </w:p>
    <w:p w14:paraId="CB000000">
      <w:pPr>
        <w:spacing w:after="0" w:line="240" w:lineRule="auto"/>
        <w:ind w:firstLine="851" w:left="0"/>
        <w:jc w:val="both"/>
        <w:rPr>
          <w:rFonts w:ascii="Times New Roman" w:hAnsi="Times New Roman"/>
          <w:sz w:val="28"/>
        </w:rPr>
      </w:pPr>
      <w:r>
        <w:rPr>
          <w:rFonts w:ascii="Times New Roman" w:hAnsi="Times New Roman"/>
          <w:sz w:val="28"/>
        </w:rPr>
        <w:t xml:space="preserve">Внесение изменений в заявку допускается путем отзыва ранее направленной заявки и направления новой в сроки приема заявок. Датой подачи заявки в случае внесения в нее изменений </w:t>
      </w:r>
      <w:r>
        <w:rPr>
          <w:rFonts w:ascii="Times New Roman" w:hAnsi="Times New Roman"/>
          <w:sz w:val="28"/>
        </w:rPr>
        <w:t>будет</w:t>
      </w:r>
      <w:r>
        <w:rPr>
          <w:rFonts w:ascii="Times New Roman" w:hAnsi="Times New Roman"/>
          <w:sz w:val="28"/>
        </w:rPr>
        <w:t xml:space="preserve"> считается день подписания заявителем новой заявки с присвоением ей регистрационного номера в системе «Электронный бюджет».</w:t>
      </w:r>
    </w:p>
    <w:p w14:paraId="CC000000">
      <w:pPr>
        <w:spacing w:after="0" w:line="240" w:lineRule="auto"/>
        <w:ind w:firstLine="851" w:left="0"/>
        <w:jc w:val="both"/>
        <w:rPr>
          <w:rFonts w:ascii="Times New Roman" w:hAnsi="Times New Roman"/>
          <w:sz w:val="28"/>
        </w:rPr>
      </w:pPr>
      <w:r>
        <w:rPr>
          <w:rFonts w:ascii="Times New Roman" w:hAnsi="Times New Roman"/>
          <w:sz w:val="28"/>
        </w:rPr>
        <w:t>4.6. Категории получателей субсидии:</w:t>
      </w:r>
    </w:p>
    <w:p w14:paraId="CD000000">
      <w:pPr>
        <w:spacing w:after="0" w:line="240" w:lineRule="auto"/>
        <w:ind w:firstLine="851" w:left="0"/>
        <w:jc w:val="both"/>
        <w:rPr>
          <w:rFonts w:ascii="Times New Roman" w:hAnsi="Times New Roman"/>
          <w:sz w:val="28"/>
        </w:rPr>
      </w:pPr>
      <w:r>
        <w:rPr>
          <w:rFonts w:ascii="Times New Roman" w:hAnsi="Times New Roman"/>
          <w:sz w:val="28"/>
        </w:rPr>
        <w:t xml:space="preserve">субъекты малого и среднего </w:t>
      </w:r>
      <w:r>
        <w:rPr>
          <w:rFonts w:ascii="Times New Roman" w:hAnsi="Times New Roman"/>
          <w:sz w:val="28"/>
        </w:rPr>
        <w:t>предпринимательства</w:t>
      </w:r>
      <w:r>
        <w:rPr>
          <w:rFonts w:ascii="Times New Roman" w:hAnsi="Times New Roman"/>
          <w:sz w:val="28"/>
        </w:rPr>
        <w:t xml:space="preserve"> зарегистрированные и действующие на территории Прокопьевского муниципального округа, определенные в соответствии со статьей 4 Федерального закона от 24 июля 2007 г. № 209-ФЗ «О развитии малого и среднего предпринимательства в Российской Федерации».</w:t>
      </w:r>
    </w:p>
    <w:p w14:paraId="CE000000">
      <w:pPr>
        <w:spacing w:after="0" w:line="240" w:lineRule="auto"/>
        <w:ind w:firstLine="851" w:left="0"/>
        <w:jc w:val="both"/>
        <w:rPr>
          <w:rFonts w:ascii="Times New Roman" w:hAnsi="Times New Roman"/>
          <w:sz w:val="28"/>
        </w:rPr>
      </w:pPr>
      <w:r>
        <w:rPr>
          <w:rFonts w:ascii="Times New Roman" w:hAnsi="Times New Roman"/>
          <w:sz w:val="28"/>
        </w:rPr>
        <w:t xml:space="preserve"> 4.7. Администрация не позднее 3-го рабочего дня, следующего за днем окончания срока подачи заявок, установленного в объявлении о проведении отбора, формирует и подписывает протокол вскрытия заявок.</w:t>
      </w:r>
    </w:p>
    <w:p w14:paraId="CF000000">
      <w:pPr>
        <w:spacing w:after="0" w:line="240" w:lineRule="auto"/>
        <w:ind w:firstLine="851" w:left="0"/>
        <w:jc w:val="both"/>
        <w:rPr>
          <w:rFonts w:ascii="Times New Roman" w:hAnsi="Times New Roman"/>
          <w:sz w:val="28"/>
        </w:rPr>
      </w:pPr>
      <w:r>
        <w:rPr>
          <w:rFonts w:ascii="Times New Roman" w:hAnsi="Times New Roman"/>
          <w:sz w:val="28"/>
        </w:rPr>
        <w:t>Протокол вскрытия заявок формируется в системе «Электронный бюджет» автоматически и подписывается усиленной квалифицированной электронной подписью председателя конкурсной комиссии (или уполномоченного им лица), а также размещается в системе «Электронный бюджет» не позднее 1 рабочего дня, следующего за днем его подписания.</w:t>
      </w:r>
    </w:p>
    <w:p w14:paraId="D0000000">
      <w:pPr>
        <w:spacing w:after="0" w:line="240" w:lineRule="auto"/>
        <w:ind w:firstLine="851" w:left="0"/>
        <w:jc w:val="both"/>
        <w:rPr>
          <w:rFonts w:ascii="Times New Roman" w:hAnsi="Times New Roman"/>
          <w:sz w:val="28"/>
        </w:rPr>
      </w:pPr>
      <w:r>
        <w:rPr>
          <w:rFonts w:ascii="Times New Roman" w:hAnsi="Times New Roman"/>
          <w:sz w:val="28"/>
        </w:rPr>
        <w:t>В течение 30 календарных дней со дня окончания срока приема заявок Администрация рассматривает представленные документы претендента на соответствие условиям и требованиям, предусмотренным пунктами 2.1 и 2.4 настоящего Порядка.</w:t>
      </w:r>
    </w:p>
    <w:p w14:paraId="D1000000">
      <w:pPr>
        <w:spacing w:after="0" w:line="240" w:lineRule="auto"/>
        <w:ind w:firstLine="851" w:left="0"/>
        <w:jc w:val="both"/>
        <w:rPr>
          <w:rFonts w:ascii="Times New Roman" w:hAnsi="Times New Roman"/>
          <w:sz w:val="28"/>
        </w:rPr>
      </w:pPr>
      <w:r>
        <w:rPr>
          <w:rFonts w:ascii="Times New Roman" w:hAnsi="Times New Roman"/>
          <w:sz w:val="28"/>
        </w:rPr>
        <w:t xml:space="preserve">Проверка на соответствие условиям и требованиям осуществляется путем анализа сведений, содержащихся в документах, подтверждения данных путем сверки с информацией, имеющейся в распоряжении </w:t>
      </w:r>
      <w:r>
        <w:rPr>
          <w:rFonts w:ascii="Times New Roman" w:hAnsi="Times New Roman"/>
          <w:sz w:val="28"/>
        </w:rPr>
        <w:t>Администрации, направления запросов в иные органы государственной власти, в распоряжении которых находятся необходимые сведения.</w:t>
      </w:r>
    </w:p>
    <w:p w14:paraId="D2000000">
      <w:pPr>
        <w:spacing w:after="0" w:line="240" w:lineRule="auto"/>
        <w:ind w:firstLine="851" w:left="0"/>
        <w:jc w:val="both"/>
        <w:rPr>
          <w:rFonts w:ascii="Times New Roman" w:hAnsi="Times New Roman"/>
          <w:sz w:val="28"/>
        </w:rPr>
      </w:pPr>
      <w:r>
        <w:rPr>
          <w:rFonts w:ascii="Times New Roman" w:hAnsi="Times New Roman"/>
          <w:sz w:val="28"/>
        </w:rPr>
        <w:t>По результатам рассмотрения заявок не позднее 5-го рабочего дня со дня окончания срока рассмотрения заявок формируется протокол рассмотрения заявок.</w:t>
      </w:r>
    </w:p>
    <w:p w14:paraId="D3000000">
      <w:pPr>
        <w:spacing w:after="0" w:line="240" w:lineRule="auto"/>
        <w:ind w:firstLine="851" w:left="0"/>
        <w:jc w:val="both"/>
        <w:rPr>
          <w:rFonts w:ascii="Times New Roman" w:hAnsi="Times New Roman"/>
          <w:sz w:val="28"/>
        </w:rPr>
      </w:pPr>
      <w:r>
        <w:rPr>
          <w:rFonts w:ascii="Times New Roman" w:hAnsi="Times New Roman"/>
          <w:sz w:val="28"/>
        </w:rPr>
        <w:t xml:space="preserve">Протокол рассмотрения заявок формируется в системе «Электронный бюджет» автоматически на основании результатов рассмотрения заявок и не позднее 3-го 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а также размещается в системе «Электронный бюджет» не позднее 1 рабочего дня, следующего за днем его подписания. </w:t>
      </w:r>
    </w:p>
    <w:p w14:paraId="D4000000">
      <w:pPr>
        <w:spacing w:after="0" w:line="240" w:lineRule="auto"/>
        <w:ind w:firstLine="851" w:left="0"/>
        <w:jc w:val="both"/>
        <w:rPr>
          <w:rFonts w:ascii="Times New Roman" w:hAnsi="Times New Roman"/>
          <w:sz w:val="28"/>
        </w:rPr>
      </w:pPr>
      <w:r>
        <w:rPr>
          <w:rFonts w:ascii="Times New Roman" w:hAnsi="Times New Roman"/>
          <w:sz w:val="28"/>
        </w:rPr>
        <w:t>4.8. В ходе проведения отбора на получение субсидии Администрация может вернуть заявку претендента на доработку через систему «Электронный бюджет».</w:t>
      </w:r>
    </w:p>
    <w:p w14:paraId="D5000000">
      <w:pPr>
        <w:spacing w:after="0" w:line="240" w:lineRule="auto"/>
        <w:ind w:firstLine="851" w:left="0"/>
        <w:jc w:val="both"/>
        <w:rPr>
          <w:rFonts w:ascii="Times New Roman" w:hAnsi="Times New Roman"/>
          <w:sz w:val="28"/>
        </w:rPr>
      </w:pPr>
      <w:r>
        <w:rPr>
          <w:rFonts w:ascii="Times New Roman" w:hAnsi="Times New Roman"/>
          <w:sz w:val="28"/>
        </w:rPr>
        <w:t>Заявка возвращается претенденту на доработку не позднее 3-го рабочего дня до окончания срока рассмотрения заявок.</w:t>
      </w:r>
    </w:p>
    <w:p w14:paraId="D6000000">
      <w:pPr>
        <w:spacing w:after="0" w:line="240" w:lineRule="auto"/>
        <w:ind w:firstLine="851" w:left="0"/>
        <w:jc w:val="both"/>
        <w:rPr>
          <w:rFonts w:ascii="Times New Roman" w:hAnsi="Times New Roman"/>
          <w:sz w:val="28"/>
        </w:rPr>
      </w:pPr>
      <w:r>
        <w:rPr>
          <w:rFonts w:ascii="Times New Roman" w:hAnsi="Times New Roman"/>
          <w:sz w:val="28"/>
        </w:rPr>
        <w:t>Заявка отправляется на доработку с указанием причин ее возврата. Претендент вправе внести изменения в заявку и вновь подать ее в течение 1 рабочего дня, следующего за днем направления Администрацией заявки на доработку.</w:t>
      </w:r>
    </w:p>
    <w:p w14:paraId="D7000000">
      <w:pPr>
        <w:spacing w:after="0" w:line="240" w:lineRule="auto"/>
        <w:ind w:firstLine="851" w:left="0"/>
        <w:jc w:val="both"/>
        <w:rPr>
          <w:rFonts w:ascii="Times New Roman" w:hAnsi="Times New Roman"/>
          <w:sz w:val="28"/>
        </w:rPr>
      </w:pPr>
      <w:r>
        <w:rPr>
          <w:rFonts w:ascii="Times New Roman" w:hAnsi="Times New Roman"/>
          <w:sz w:val="28"/>
        </w:rPr>
        <w:t>Доработанная заявка вновь не регистрируется, и датой подачи заявки считается день подписания первоначальной заявки претендента с присвоением ей регистрационного номера в системе «Электронный бюджет».</w:t>
      </w:r>
    </w:p>
    <w:p w14:paraId="D8000000">
      <w:pPr>
        <w:spacing w:after="0" w:line="240" w:lineRule="auto"/>
        <w:ind w:firstLine="851" w:left="0"/>
        <w:jc w:val="both"/>
        <w:rPr>
          <w:rFonts w:ascii="Times New Roman" w:hAnsi="Times New Roman"/>
          <w:sz w:val="28"/>
        </w:rPr>
      </w:pPr>
      <w:r>
        <w:rPr>
          <w:rFonts w:ascii="Times New Roman" w:hAnsi="Times New Roman"/>
          <w:sz w:val="28"/>
        </w:rPr>
        <w:t>Заявки направляются на доработку в случае наличия в электронных копиях документов подчисток либо приписок, зачеркнутых слов по тексту, а также отсканированных ненадлежащим образом (не читаются, не полный объем документа).</w:t>
      </w:r>
    </w:p>
    <w:p w14:paraId="D9000000">
      <w:pPr>
        <w:spacing w:after="0" w:line="240" w:lineRule="auto"/>
        <w:ind w:firstLine="851" w:left="0"/>
        <w:jc w:val="both"/>
        <w:rPr>
          <w:rFonts w:ascii="Times New Roman" w:hAnsi="Times New Roman"/>
          <w:sz w:val="28"/>
        </w:rPr>
      </w:pPr>
      <w:r>
        <w:rPr>
          <w:rFonts w:ascii="Times New Roman" w:hAnsi="Times New Roman"/>
          <w:sz w:val="28"/>
        </w:rPr>
        <w:t>4.9. Конкурсная комиссия рассматривает и оценивает представленные претендентом документы в течение 10 рабочих дней со дня размещения протокола рассмотрения заявок в системе «Электронный бюджет».</w:t>
      </w:r>
    </w:p>
    <w:p w14:paraId="DA000000">
      <w:pPr>
        <w:spacing w:after="0" w:line="240" w:lineRule="auto"/>
        <w:ind w:firstLine="851" w:left="0"/>
        <w:jc w:val="both"/>
        <w:rPr>
          <w:rFonts w:ascii="Times New Roman" w:hAnsi="Times New Roman"/>
          <w:sz w:val="28"/>
        </w:rPr>
      </w:pPr>
      <w:r>
        <w:rPr>
          <w:rFonts w:ascii="Times New Roman" w:hAnsi="Times New Roman"/>
          <w:sz w:val="28"/>
        </w:rPr>
        <w:t>В течение 10 рабочих дней со дня размещения протокола рассмотрения заявок в системе «Электронный бюджет» конкурсная комиссия проводит оценку претендентов и принимает решение о признании победителе</w:t>
      </w:r>
      <w:r>
        <w:rPr>
          <w:rFonts w:ascii="Times New Roman" w:hAnsi="Times New Roman"/>
          <w:sz w:val="28"/>
        </w:rPr>
        <w:t>м(</w:t>
      </w:r>
      <w:r>
        <w:rPr>
          <w:rFonts w:ascii="Times New Roman" w:hAnsi="Times New Roman"/>
          <w:sz w:val="28"/>
        </w:rPr>
        <w:t>ями</w:t>
      </w:r>
      <w:r>
        <w:rPr>
          <w:rFonts w:ascii="Times New Roman" w:hAnsi="Times New Roman"/>
          <w:sz w:val="28"/>
        </w:rPr>
        <w:t>) отбора и определении рекомендуемого(</w:t>
      </w:r>
      <w:r>
        <w:rPr>
          <w:rFonts w:ascii="Times New Roman" w:hAnsi="Times New Roman"/>
          <w:sz w:val="28"/>
        </w:rPr>
        <w:t>ых</w:t>
      </w:r>
      <w:r>
        <w:rPr>
          <w:rFonts w:ascii="Times New Roman" w:hAnsi="Times New Roman"/>
          <w:sz w:val="28"/>
        </w:rPr>
        <w:t>) размера(</w:t>
      </w:r>
      <w:r>
        <w:rPr>
          <w:rFonts w:ascii="Times New Roman" w:hAnsi="Times New Roman"/>
          <w:sz w:val="28"/>
        </w:rPr>
        <w:t>ов</w:t>
      </w:r>
      <w:r>
        <w:rPr>
          <w:rFonts w:ascii="Times New Roman" w:hAnsi="Times New Roman"/>
          <w:sz w:val="28"/>
        </w:rPr>
        <w:t xml:space="preserve">) субсидии в пределах лимитов бюджетных обязательств, предусмотренных в бюджете Прокопьевского муниципального округа на соответствующий финансовый год и утвержденных лимитов бюджетных обязательств на предоставление финансовой поддержки в </w:t>
      </w:r>
      <w:r>
        <w:rPr>
          <w:rFonts w:ascii="Times New Roman" w:hAnsi="Times New Roman"/>
          <w:sz w:val="28"/>
        </w:rPr>
        <w:t>виде</w:t>
      </w:r>
      <w:r>
        <w:rPr>
          <w:rFonts w:ascii="Times New Roman" w:hAnsi="Times New Roman"/>
          <w:sz w:val="28"/>
        </w:rPr>
        <w:t xml:space="preserve"> субсидии.</w:t>
      </w:r>
    </w:p>
    <w:p w14:paraId="DB000000">
      <w:pPr>
        <w:spacing w:after="0" w:line="240" w:lineRule="auto"/>
        <w:ind w:firstLine="851" w:left="0"/>
        <w:jc w:val="both"/>
        <w:rPr>
          <w:rFonts w:ascii="Times New Roman" w:hAnsi="Times New Roman"/>
          <w:sz w:val="28"/>
        </w:rPr>
      </w:pPr>
      <w:r>
        <w:rPr>
          <w:rFonts w:ascii="Times New Roman" w:hAnsi="Times New Roman"/>
          <w:sz w:val="28"/>
        </w:rPr>
        <w:t>Победители отбора определяются решением конкурсной комиссии. Решения конкурсной комиссии оформляются протоколом в течение 7 рабочих дней со дня проведения оценки претендентов конкурсной комиссией.</w:t>
      </w:r>
    </w:p>
    <w:p w14:paraId="DC000000">
      <w:pPr>
        <w:spacing w:after="0" w:line="240" w:lineRule="auto"/>
        <w:ind w:firstLine="851" w:left="0"/>
        <w:jc w:val="both"/>
        <w:rPr>
          <w:rFonts w:ascii="Times New Roman" w:hAnsi="Times New Roman"/>
          <w:sz w:val="28"/>
        </w:rPr>
      </w:pPr>
      <w:r>
        <w:rPr>
          <w:rFonts w:ascii="Times New Roman" w:hAnsi="Times New Roman"/>
          <w:sz w:val="28"/>
        </w:rPr>
        <w:t>4.10. Правила рассмотрения и оценки заявок претендентов:</w:t>
      </w:r>
    </w:p>
    <w:p w14:paraId="DD000000">
      <w:pPr>
        <w:spacing w:after="0" w:line="240" w:lineRule="auto"/>
        <w:ind w:firstLine="851" w:left="0"/>
        <w:jc w:val="both"/>
        <w:rPr>
          <w:rFonts w:ascii="Times New Roman" w:hAnsi="Times New Roman"/>
          <w:sz w:val="28"/>
        </w:rPr>
      </w:pPr>
      <w:r>
        <w:rPr>
          <w:rFonts w:ascii="Times New Roman" w:hAnsi="Times New Roman"/>
          <w:sz w:val="28"/>
        </w:rPr>
        <w:t>порядок рассмотрения заявок претендентов на предмет их соответствия установленным в объявлении о проведении отбора требованиям указан в пункте 4.7 настоящего Порядка;</w:t>
      </w:r>
    </w:p>
    <w:p w14:paraId="DE000000">
      <w:pPr>
        <w:spacing w:after="0" w:line="240" w:lineRule="auto"/>
        <w:ind w:firstLine="851" w:left="0"/>
        <w:jc w:val="both"/>
        <w:rPr>
          <w:rFonts w:ascii="Times New Roman" w:hAnsi="Times New Roman"/>
          <w:sz w:val="28"/>
        </w:rPr>
      </w:pPr>
      <w:r>
        <w:rPr>
          <w:rFonts w:ascii="Times New Roman" w:hAnsi="Times New Roman"/>
          <w:sz w:val="28"/>
        </w:rPr>
        <w:t>основания отклонения заявок претендентов указаны в пункте 4.17 настоящего Порядка;</w:t>
      </w:r>
    </w:p>
    <w:p w14:paraId="DF000000">
      <w:pPr>
        <w:spacing w:after="0" w:line="240" w:lineRule="auto"/>
        <w:ind w:firstLine="851" w:left="0"/>
        <w:jc w:val="both"/>
        <w:rPr>
          <w:rFonts w:ascii="Times New Roman" w:hAnsi="Times New Roman"/>
          <w:sz w:val="28"/>
        </w:rPr>
      </w:pPr>
      <w:r>
        <w:rPr>
          <w:rFonts w:ascii="Times New Roman" w:hAnsi="Times New Roman"/>
          <w:sz w:val="28"/>
        </w:rPr>
        <w:t>сроки оценки заявок претендентов указаны в пункте 4.9 настоящего Порядка;</w:t>
      </w:r>
    </w:p>
    <w:p w14:paraId="E0000000">
      <w:pPr>
        <w:spacing w:after="0" w:line="240" w:lineRule="auto"/>
        <w:ind w:firstLine="851" w:left="0"/>
        <w:jc w:val="both"/>
        <w:rPr>
          <w:rFonts w:ascii="Times New Roman" w:hAnsi="Times New Roman"/>
          <w:sz w:val="28"/>
        </w:rPr>
      </w:pPr>
      <w:r>
        <w:rPr>
          <w:rFonts w:ascii="Times New Roman" w:hAnsi="Times New Roman"/>
          <w:sz w:val="28"/>
        </w:rPr>
        <w:t>критерии оценки заявок определены в приложении № 1 к настоящему Порядку;</w:t>
      </w:r>
    </w:p>
    <w:p w14:paraId="E1000000">
      <w:pPr>
        <w:spacing w:after="0" w:line="240" w:lineRule="auto"/>
        <w:ind w:firstLine="851" w:left="0"/>
        <w:jc w:val="both"/>
        <w:rPr>
          <w:rFonts w:ascii="Times New Roman" w:hAnsi="Times New Roman"/>
          <w:sz w:val="28"/>
        </w:rPr>
      </w:pPr>
      <w:r>
        <w:rPr>
          <w:rFonts w:ascii="Times New Roman" w:hAnsi="Times New Roman"/>
          <w:sz w:val="28"/>
        </w:rPr>
        <w:t>присвоение итоговой оценки заявкам претендентов осуществляется в соответствии с пунктом 4.20 настоящего Порядка.</w:t>
      </w:r>
    </w:p>
    <w:p w14:paraId="E2000000">
      <w:pPr>
        <w:spacing w:after="0" w:line="240" w:lineRule="auto"/>
        <w:ind w:firstLine="851" w:left="0"/>
        <w:jc w:val="both"/>
        <w:rPr>
          <w:rFonts w:ascii="Times New Roman" w:hAnsi="Times New Roman"/>
          <w:sz w:val="28"/>
        </w:rPr>
      </w:pPr>
      <w:r>
        <w:rPr>
          <w:rFonts w:ascii="Times New Roman" w:hAnsi="Times New Roman"/>
          <w:sz w:val="28"/>
        </w:rPr>
        <w:t>4.11. Конкурсная комиссия:</w:t>
      </w:r>
    </w:p>
    <w:p w14:paraId="E3000000">
      <w:pPr>
        <w:spacing w:after="0" w:line="240" w:lineRule="auto"/>
        <w:ind w:firstLine="851" w:left="0"/>
        <w:jc w:val="both"/>
        <w:rPr>
          <w:rFonts w:ascii="Times New Roman" w:hAnsi="Times New Roman"/>
          <w:sz w:val="28"/>
        </w:rPr>
      </w:pPr>
      <w:r>
        <w:rPr>
          <w:rFonts w:ascii="Times New Roman" w:hAnsi="Times New Roman"/>
          <w:sz w:val="28"/>
        </w:rPr>
        <w:t>рассматривает заявки и документацию претендентов, в том числе на предмет соответствия требованиям настоящего Порядка, оценивает их в соответствии с критериями оценки заявок, установленными в оценочном листе;</w:t>
      </w:r>
    </w:p>
    <w:p w14:paraId="E4000000">
      <w:pPr>
        <w:spacing w:after="0" w:line="240" w:lineRule="auto"/>
        <w:ind w:firstLine="851" w:left="0"/>
        <w:jc w:val="both"/>
        <w:rPr>
          <w:rFonts w:ascii="Times New Roman" w:hAnsi="Times New Roman"/>
          <w:sz w:val="28"/>
        </w:rPr>
      </w:pPr>
      <w:r>
        <w:rPr>
          <w:rFonts w:ascii="Times New Roman" w:hAnsi="Times New Roman"/>
          <w:sz w:val="28"/>
        </w:rPr>
        <w:t>формирует рейтинг заявок претендентов в соответствии с количеством набранных баллов;</w:t>
      </w:r>
    </w:p>
    <w:p w14:paraId="E5000000">
      <w:pPr>
        <w:spacing w:after="0" w:line="240" w:lineRule="auto"/>
        <w:ind w:firstLine="851" w:left="0"/>
        <w:jc w:val="both"/>
        <w:rPr>
          <w:rFonts w:ascii="Times New Roman" w:hAnsi="Times New Roman"/>
          <w:sz w:val="28"/>
        </w:rPr>
      </w:pPr>
      <w:r>
        <w:rPr>
          <w:rFonts w:ascii="Times New Roman" w:hAnsi="Times New Roman"/>
          <w:sz w:val="28"/>
        </w:rPr>
        <w:t>определяет размер субсидии для каждого получателя субсидии.</w:t>
      </w:r>
    </w:p>
    <w:p w14:paraId="E6000000">
      <w:pPr>
        <w:spacing w:after="0" w:line="240" w:lineRule="auto"/>
        <w:ind w:firstLine="851" w:left="0"/>
        <w:jc w:val="both"/>
        <w:rPr>
          <w:rFonts w:ascii="Times New Roman" w:hAnsi="Times New Roman"/>
          <w:sz w:val="28"/>
        </w:rPr>
      </w:pPr>
      <w:r>
        <w:rPr>
          <w:rFonts w:ascii="Times New Roman" w:hAnsi="Times New Roman"/>
          <w:sz w:val="28"/>
        </w:rPr>
        <w:t>При оценке заявок члены конкурсной комиссии не должны обсуждать с претендентом поданные заявки и документы, а также напрямую запрашивать документы, информацию и (или) пояснения.</w:t>
      </w:r>
    </w:p>
    <w:p w14:paraId="E7000000">
      <w:pPr>
        <w:spacing w:after="0" w:line="240" w:lineRule="auto"/>
        <w:ind w:firstLine="851" w:left="0"/>
        <w:jc w:val="both"/>
        <w:rPr>
          <w:rFonts w:ascii="Times New Roman" w:hAnsi="Times New Roman"/>
          <w:sz w:val="28"/>
        </w:rPr>
      </w:pPr>
      <w:r>
        <w:rPr>
          <w:rFonts w:ascii="Times New Roman" w:hAnsi="Times New Roman"/>
          <w:sz w:val="28"/>
        </w:rPr>
        <w:t>Член конкурсной комиссии не вправе рассматривать заявку претендента, если он является работником или членом коллегиального органа претендента или если таковыми являются его близкие родственники, а также в иных случаях, если имеются обстоятельства, дающие основания полагать, что член конкурсной комиссии лично, прямо или косвенно, заинтересован в результате рассмотрения заявки.</w:t>
      </w:r>
    </w:p>
    <w:p w14:paraId="E8000000">
      <w:pPr>
        <w:spacing w:after="0" w:line="240" w:lineRule="auto"/>
        <w:ind w:firstLine="851" w:left="0"/>
        <w:jc w:val="both"/>
        <w:rPr>
          <w:rFonts w:ascii="Times New Roman" w:hAnsi="Times New Roman"/>
          <w:sz w:val="28"/>
        </w:rPr>
      </w:pPr>
      <w:r>
        <w:rPr>
          <w:rFonts w:ascii="Times New Roman" w:hAnsi="Times New Roman"/>
          <w:sz w:val="28"/>
        </w:rPr>
        <w:t>4.12. В случае отмены проведения отбора Администрация размещает объявление об отмене проведения отбора в системе «Электронный бюджет» не позднее, чем за 1 рабочий день до даты окончания срока подачи заявок участниками отбора. Объявление об отмене отбора формируется в системе «Электронный бюджет», подписывается усиленной квалифицированной электронной подписью председателя конкурсной комиссии (или уполномоченного лица) и содержит информацию о причинах отмены отбора.</w:t>
      </w:r>
    </w:p>
    <w:p w14:paraId="E9000000">
      <w:pPr>
        <w:spacing w:after="0" w:line="240" w:lineRule="auto"/>
        <w:ind w:firstLine="851" w:left="0"/>
        <w:jc w:val="both"/>
        <w:rPr>
          <w:rFonts w:ascii="Times New Roman" w:hAnsi="Times New Roman"/>
          <w:sz w:val="28"/>
        </w:rPr>
      </w:pPr>
      <w:r>
        <w:rPr>
          <w:rFonts w:ascii="Times New Roman" w:hAnsi="Times New Roman"/>
          <w:sz w:val="28"/>
        </w:rPr>
        <w:t>Отбор считается отмененным со дня размещения объявления о его отмене в системе «Электронный бюджет».</w:t>
      </w:r>
    </w:p>
    <w:p w14:paraId="EA000000">
      <w:pPr>
        <w:spacing w:after="0" w:line="240" w:lineRule="auto"/>
        <w:ind w:firstLine="851" w:left="0"/>
        <w:jc w:val="both"/>
        <w:rPr>
          <w:rFonts w:ascii="Times New Roman" w:hAnsi="Times New Roman"/>
          <w:sz w:val="28"/>
        </w:rPr>
      </w:pPr>
      <w:r>
        <w:rPr>
          <w:rFonts w:ascii="Times New Roman" w:hAnsi="Times New Roman"/>
          <w:sz w:val="28"/>
        </w:rPr>
        <w:t>4.13. Отбор признается несостоявшимся в следующих случаях:</w:t>
      </w:r>
    </w:p>
    <w:p w14:paraId="EB000000">
      <w:pPr>
        <w:spacing w:after="0" w:line="240" w:lineRule="auto"/>
        <w:ind w:firstLine="851" w:left="0"/>
        <w:jc w:val="both"/>
        <w:rPr>
          <w:rFonts w:ascii="Times New Roman" w:hAnsi="Times New Roman"/>
          <w:sz w:val="28"/>
        </w:rPr>
      </w:pPr>
      <w:r>
        <w:rPr>
          <w:rFonts w:ascii="Times New Roman" w:hAnsi="Times New Roman"/>
          <w:sz w:val="28"/>
        </w:rPr>
        <w:t>по окончании срока подачи заявок не подано ни одной заявки;</w:t>
      </w:r>
    </w:p>
    <w:p w14:paraId="EC000000">
      <w:pPr>
        <w:spacing w:after="0" w:line="240" w:lineRule="auto"/>
        <w:ind w:firstLine="851" w:left="0"/>
        <w:jc w:val="both"/>
        <w:rPr>
          <w:rFonts w:ascii="Times New Roman" w:hAnsi="Times New Roman"/>
          <w:sz w:val="28"/>
        </w:rPr>
      </w:pPr>
      <w:r>
        <w:rPr>
          <w:rFonts w:ascii="Times New Roman" w:hAnsi="Times New Roman"/>
          <w:sz w:val="28"/>
        </w:rPr>
        <w:t>по результатам рассмотрения заявок отклонены все заявки.</w:t>
      </w:r>
    </w:p>
    <w:p w14:paraId="ED000000">
      <w:pPr>
        <w:spacing w:after="0" w:line="240" w:lineRule="auto"/>
        <w:ind w:firstLine="851" w:left="0"/>
        <w:jc w:val="both"/>
        <w:rPr>
          <w:rFonts w:ascii="Times New Roman" w:hAnsi="Times New Roman"/>
          <w:sz w:val="28"/>
        </w:rPr>
      </w:pPr>
      <w:r>
        <w:rPr>
          <w:rFonts w:ascii="Times New Roman" w:hAnsi="Times New Roman"/>
          <w:sz w:val="28"/>
        </w:rPr>
        <w:t xml:space="preserve">В случае признания отбора </w:t>
      </w:r>
      <w:r>
        <w:rPr>
          <w:rFonts w:ascii="Times New Roman" w:hAnsi="Times New Roman"/>
          <w:sz w:val="28"/>
        </w:rPr>
        <w:t>несостоявшимся</w:t>
      </w:r>
      <w:r>
        <w:rPr>
          <w:rFonts w:ascii="Times New Roman" w:hAnsi="Times New Roman"/>
          <w:sz w:val="28"/>
        </w:rPr>
        <w:t>, не позднее 3-го рабочего дня со дня окончания срока проверки заявок формируется протокол о признании отбора несостоявшимся.</w:t>
      </w:r>
    </w:p>
    <w:p w14:paraId="EE000000">
      <w:pPr>
        <w:spacing w:after="0" w:line="240" w:lineRule="auto"/>
        <w:ind w:firstLine="851" w:left="0"/>
        <w:jc w:val="both"/>
        <w:rPr>
          <w:rFonts w:ascii="Times New Roman" w:hAnsi="Times New Roman"/>
          <w:sz w:val="28"/>
        </w:rPr>
      </w:pPr>
      <w:r>
        <w:rPr>
          <w:rFonts w:ascii="Times New Roman" w:hAnsi="Times New Roman"/>
          <w:sz w:val="28"/>
        </w:rPr>
        <w:t xml:space="preserve">Протокол о признании отбора несостоявшимся формируется в электронной форме в системе «Электронный бюджет» не позднее 3-го </w:t>
      </w:r>
      <w:r>
        <w:rPr>
          <w:rFonts w:ascii="Times New Roman" w:hAnsi="Times New Roman"/>
          <w:sz w:val="28"/>
        </w:rPr>
        <w:t>рабочего дня, следующего за днем его формирования, подписывается усиленной квалифицированной электронной подписью председателя конкурсной комиссии (или уполномоченного лица), размещается на едином портале не позднее 1 рабочего дня, следующего за днем его подписания.</w:t>
      </w:r>
    </w:p>
    <w:p w14:paraId="EF000000">
      <w:pPr>
        <w:spacing w:after="0" w:line="240" w:lineRule="auto"/>
        <w:ind w:firstLine="851" w:left="0"/>
        <w:jc w:val="both"/>
        <w:rPr>
          <w:rFonts w:ascii="Times New Roman" w:hAnsi="Times New Roman"/>
          <w:sz w:val="28"/>
        </w:rPr>
      </w:pPr>
      <w:r>
        <w:rPr>
          <w:rFonts w:ascii="Times New Roman" w:hAnsi="Times New Roman"/>
          <w:sz w:val="28"/>
        </w:rPr>
        <w:t xml:space="preserve">4.14. </w:t>
      </w:r>
      <w:r>
        <w:rPr>
          <w:rFonts w:ascii="Times New Roman" w:hAnsi="Times New Roman"/>
          <w:sz w:val="28"/>
        </w:rPr>
        <w:t>В случае если конкурсной комиссией определен рекомендуемый размер субсидии в размере нераспределенного остатка лимита бюджетных обязательств на предоставление финансовой поддержки в виде субсидии, до подписания соглашения претендент в течение 5 рабочих дней со дня размещения в системе «Электронный бюджет» протокола подведения итогов представляет в Администрацию скорректированные заявление, перечень затрат и проект или заявление об отказе от получения субсидии в размере</w:t>
      </w:r>
      <w:r>
        <w:rPr>
          <w:rFonts w:ascii="Times New Roman" w:hAnsi="Times New Roman"/>
          <w:sz w:val="28"/>
        </w:rPr>
        <w:t xml:space="preserve">, </w:t>
      </w:r>
      <w:r>
        <w:rPr>
          <w:rFonts w:ascii="Times New Roman" w:hAnsi="Times New Roman"/>
          <w:sz w:val="28"/>
        </w:rPr>
        <w:t>определенном</w:t>
      </w:r>
      <w:r>
        <w:rPr>
          <w:rFonts w:ascii="Times New Roman" w:hAnsi="Times New Roman"/>
          <w:sz w:val="28"/>
        </w:rPr>
        <w:t xml:space="preserve"> конкурсной комиссией.</w:t>
      </w:r>
    </w:p>
    <w:p w14:paraId="F0000000">
      <w:pPr>
        <w:spacing w:after="0" w:line="240" w:lineRule="auto"/>
        <w:ind w:firstLine="851" w:left="0"/>
        <w:jc w:val="both"/>
        <w:rPr>
          <w:rFonts w:ascii="Times New Roman" w:hAnsi="Times New Roman"/>
          <w:sz w:val="28"/>
        </w:rPr>
      </w:pPr>
      <w:r>
        <w:rPr>
          <w:rFonts w:ascii="Times New Roman" w:hAnsi="Times New Roman"/>
          <w:sz w:val="28"/>
        </w:rPr>
        <w:t>4.15. Администрация рассматривает скорректированные заявление, перечень затрат и проект на предмет соответствия условиям предоставления субсидии в течение 3 рабочих дней со дня их получения.</w:t>
      </w:r>
    </w:p>
    <w:p w14:paraId="F1000000">
      <w:pPr>
        <w:spacing w:after="0" w:line="240" w:lineRule="auto"/>
        <w:ind w:firstLine="851" w:left="0"/>
        <w:jc w:val="both"/>
        <w:rPr>
          <w:rFonts w:ascii="Times New Roman" w:hAnsi="Times New Roman"/>
          <w:sz w:val="28"/>
        </w:rPr>
      </w:pPr>
      <w:r>
        <w:rPr>
          <w:rFonts w:ascii="Times New Roman" w:hAnsi="Times New Roman"/>
          <w:sz w:val="28"/>
        </w:rPr>
        <w:t>4.16. В случае несоответствия скорректированных заявления, перечня затрат и проекта условиям предоставления субсидии Администрация в течение 2 рабочих дней со дня истечения срока их проверки в письменном виде информирует претендента об отказе в предоставлении субсидии лично, или посредством почтового отправления, или по электронной почте (при ее наличии).</w:t>
      </w:r>
    </w:p>
    <w:p w14:paraId="F2000000">
      <w:pPr>
        <w:spacing w:after="0" w:line="240" w:lineRule="auto"/>
        <w:ind w:firstLine="851" w:left="0"/>
        <w:jc w:val="both"/>
        <w:rPr>
          <w:rFonts w:ascii="Times New Roman" w:hAnsi="Times New Roman"/>
          <w:sz w:val="28"/>
        </w:rPr>
      </w:pPr>
      <w:r>
        <w:rPr>
          <w:rFonts w:ascii="Times New Roman" w:hAnsi="Times New Roman"/>
          <w:sz w:val="28"/>
        </w:rPr>
        <w:t>В случае соответствия скорректированных заявления, перечня затрат и проекта условиям предоставления субсидии Администрация заключает с претендентом соглашение в сроки, установленные пунктом 2.9 настоящего Порядка.</w:t>
      </w:r>
    </w:p>
    <w:p w14:paraId="F3000000">
      <w:pPr>
        <w:spacing w:after="0" w:line="240" w:lineRule="auto"/>
        <w:ind w:firstLine="851" w:left="0"/>
        <w:jc w:val="both"/>
        <w:rPr>
          <w:rFonts w:ascii="Times New Roman" w:hAnsi="Times New Roman"/>
          <w:sz w:val="28"/>
        </w:rPr>
      </w:pPr>
      <w:r>
        <w:rPr>
          <w:rFonts w:ascii="Times New Roman" w:hAnsi="Times New Roman"/>
          <w:sz w:val="28"/>
        </w:rPr>
        <w:t>4.17. Основания для отклонения заявки претендентов:</w:t>
      </w:r>
    </w:p>
    <w:p w14:paraId="F4000000">
      <w:pPr>
        <w:spacing w:after="0" w:line="240" w:lineRule="auto"/>
        <w:ind w:firstLine="851" w:left="0"/>
        <w:jc w:val="both"/>
        <w:rPr>
          <w:rFonts w:ascii="Times New Roman" w:hAnsi="Times New Roman"/>
          <w:sz w:val="28"/>
        </w:rPr>
      </w:pPr>
      <w:r>
        <w:rPr>
          <w:rFonts w:ascii="Times New Roman" w:hAnsi="Times New Roman"/>
          <w:sz w:val="28"/>
        </w:rPr>
        <w:t>подача претендентом заявки позже даты и (или) времени, определенных для подачи заявок;</w:t>
      </w:r>
    </w:p>
    <w:p w14:paraId="F5000000">
      <w:pPr>
        <w:spacing w:after="0" w:line="240" w:lineRule="auto"/>
        <w:ind w:firstLine="851" w:left="0"/>
        <w:jc w:val="both"/>
        <w:rPr>
          <w:rFonts w:ascii="Times New Roman" w:hAnsi="Times New Roman"/>
          <w:sz w:val="28"/>
        </w:rPr>
      </w:pPr>
      <w:r>
        <w:rPr>
          <w:rFonts w:ascii="Times New Roman" w:hAnsi="Times New Roman"/>
          <w:sz w:val="28"/>
        </w:rPr>
        <w:t>отсутствие нераспределенных лимитов бюджетных обязательств на предоставление субсидии;</w:t>
      </w:r>
    </w:p>
    <w:p w14:paraId="F6000000">
      <w:pPr>
        <w:spacing w:after="0" w:line="240" w:lineRule="auto"/>
        <w:ind w:firstLine="851" w:left="0"/>
        <w:jc w:val="both"/>
        <w:rPr>
          <w:rFonts w:ascii="Times New Roman" w:hAnsi="Times New Roman"/>
          <w:sz w:val="28"/>
        </w:rPr>
      </w:pPr>
      <w:r>
        <w:rPr>
          <w:rFonts w:ascii="Times New Roman" w:hAnsi="Times New Roman"/>
          <w:sz w:val="28"/>
        </w:rPr>
        <w:t>несоответствие претендента требованиям, установленным пунктом 2.1 настоящего Порядка;</w:t>
      </w:r>
    </w:p>
    <w:p w14:paraId="F7000000">
      <w:pPr>
        <w:spacing w:after="0" w:line="240" w:lineRule="auto"/>
        <w:ind w:firstLine="851" w:left="0"/>
        <w:jc w:val="both"/>
        <w:rPr>
          <w:rFonts w:ascii="Times New Roman" w:hAnsi="Times New Roman"/>
          <w:sz w:val="28"/>
        </w:rPr>
      </w:pPr>
      <w:r>
        <w:rPr>
          <w:rFonts w:ascii="Times New Roman" w:hAnsi="Times New Roman"/>
          <w:sz w:val="28"/>
        </w:rPr>
        <w:t>непредставление (представление не в полном объеме) документов, указанных в объявлении о проведении конкурсного отбора;</w:t>
      </w:r>
    </w:p>
    <w:p w14:paraId="F8000000">
      <w:pPr>
        <w:spacing w:after="0" w:line="240" w:lineRule="auto"/>
        <w:ind w:firstLine="851" w:left="0"/>
        <w:jc w:val="both"/>
        <w:rPr>
          <w:rFonts w:ascii="Times New Roman" w:hAnsi="Times New Roman"/>
          <w:sz w:val="28"/>
        </w:rPr>
      </w:pPr>
      <w:r>
        <w:rPr>
          <w:rFonts w:ascii="Times New Roman" w:hAnsi="Times New Roman"/>
          <w:sz w:val="28"/>
        </w:rPr>
        <w:t>несоответствие представленных претендентом заявок и (или) документов требованиям, установленным в объявлении о проведении отбора;</w:t>
      </w:r>
    </w:p>
    <w:p w14:paraId="F9000000">
      <w:pPr>
        <w:spacing w:after="0" w:line="240" w:lineRule="auto"/>
        <w:ind w:firstLine="851" w:left="0"/>
        <w:jc w:val="both"/>
        <w:rPr>
          <w:rFonts w:ascii="Times New Roman" w:hAnsi="Times New Roman"/>
          <w:sz w:val="28"/>
        </w:rPr>
      </w:pPr>
      <w:r>
        <w:rPr>
          <w:rFonts w:ascii="Times New Roman" w:hAnsi="Times New Roman"/>
          <w:sz w:val="28"/>
        </w:rPr>
        <w:t>недостоверность информации, содержащейся в документах, представленных претендентом в целях подтверждения соответствия требованиям, установленным настоящим Порядком;</w:t>
      </w:r>
    </w:p>
    <w:p w14:paraId="FA000000">
      <w:pPr>
        <w:spacing w:after="0" w:line="240" w:lineRule="auto"/>
        <w:ind w:firstLine="851" w:left="0"/>
        <w:jc w:val="both"/>
        <w:rPr>
          <w:rFonts w:ascii="Times New Roman" w:hAnsi="Times New Roman"/>
          <w:sz w:val="28"/>
        </w:rPr>
      </w:pPr>
      <w:r>
        <w:rPr>
          <w:rFonts w:ascii="Times New Roman" w:hAnsi="Times New Roman"/>
          <w:sz w:val="28"/>
        </w:rPr>
        <w:t>заявление от претендента о прекращении рассмотрения заявки на участие в конкурсе.</w:t>
      </w:r>
    </w:p>
    <w:p w14:paraId="FB000000">
      <w:pPr>
        <w:spacing w:after="0" w:line="240" w:lineRule="auto"/>
        <w:ind w:firstLine="851" w:left="0"/>
        <w:jc w:val="both"/>
        <w:rPr>
          <w:rFonts w:ascii="Times New Roman" w:hAnsi="Times New Roman"/>
          <w:sz w:val="28"/>
        </w:rPr>
      </w:pPr>
      <w:r>
        <w:rPr>
          <w:rFonts w:ascii="Times New Roman" w:hAnsi="Times New Roman"/>
          <w:sz w:val="28"/>
        </w:rPr>
        <w:t>4.18. Рассмотрение и оценка заявок осуществляется конкурсной комиссией в соответствии с критериями оценки заявок, указанными в оценочной ведомости по форме согласно приложению № 1 к настоящему Порядку.</w:t>
      </w:r>
    </w:p>
    <w:p w14:paraId="FC000000">
      <w:pPr>
        <w:spacing w:after="0" w:line="240" w:lineRule="auto"/>
        <w:ind w:firstLine="851" w:left="0"/>
        <w:jc w:val="both"/>
        <w:rPr>
          <w:rFonts w:ascii="Times New Roman" w:hAnsi="Times New Roman"/>
          <w:sz w:val="28"/>
        </w:rPr>
      </w:pPr>
      <w:r>
        <w:rPr>
          <w:rFonts w:ascii="Times New Roman" w:hAnsi="Times New Roman"/>
          <w:sz w:val="28"/>
        </w:rPr>
        <w:t>4.19. В течение 10 рабочих дней со дня размещения протокола рассмотрения заявок каждая заявка претендента оценивается членами конкурсной комиссии путем заполнения соответствующей формы.</w:t>
      </w:r>
    </w:p>
    <w:p w14:paraId="FD000000">
      <w:pPr>
        <w:spacing w:after="0" w:line="240" w:lineRule="auto"/>
        <w:ind w:firstLine="851" w:left="0"/>
        <w:jc w:val="both"/>
        <w:rPr>
          <w:rFonts w:ascii="Times New Roman" w:hAnsi="Times New Roman"/>
          <w:sz w:val="28"/>
        </w:rPr>
      </w:pPr>
      <w:r>
        <w:rPr>
          <w:rFonts w:ascii="Times New Roman" w:hAnsi="Times New Roman"/>
          <w:sz w:val="28"/>
        </w:rPr>
        <w:t>4.20. В течение 3 рабочих дней со дня завершения оценки заявок секретарем конкурсной комиссии на основании оценочных ведомостей по каждой заявке определяется итоговый балл.</w:t>
      </w:r>
    </w:p>
    <w:p w14:paraId="FE000000">
      <w:pPr>
        <w:spacing w:after="0" w:line="240" w:lineRule="auto"/>
        <w:ind w:firstLine="851" w:left="0"/>
        <w:jc w:val="both"/>
        <w:rPr>
          <w:rFonts w:ascii="Times New Roman" w:hAnsi="Times New Roman"/>
          <w:sz w:val="28"/>
        </w:rPr>
      </w:pPr>
      <w:r>
        <w:rPr>
          <w:rFonts w:ascii="Times New Roman" w:hAnsi="Times New Roman"/>
          <w:sz w:val="28"/>
        </w:rPr>
        <w:t>Итоговый балл определяется как среднее значение суммы баллов, присвоенных оценившими заявку членами конкурсной комиссии (с округлением полученных чисел до десятых).</w:t>
      </w:r>
    </w:p>
    <w:p w14:paraId="FF000000">
      <w:pPr>
        <w:spacing w:after="0" w:line="240" w:lineRule="auto"/>
        <w:ind w:firstLine="851" w:left="0"/>
        <w:jc w:val="both"/>
        <w:rPr>
          <w:rFonts w:ascii="Times New Roman" w:hAnsi="Times New Roman"/>
          <w:sz w:val="28"/>
        </w:rPr>
      </w:pPr>
      <w:r>
        <w:rPr>
          <w:rFonts w:ascii="Times New Roman" w:hAnsi="Times New Roman"/>
          <w:sz w:val="28"/>
        </w:rPr>
        <w:t>4.21. Секретарем конкурсной комиссии осуществляется формирование рейтинга заявок исходя из итогового балла заявки - от наибольшего итогового балла заявки (первое рейтинговое место) к наименьшему итоговому баллу заявки (последнее рейтинговое место).</w:t>
      </w:r>
    </w:p>
    <w:p w14:paraId="00010000">
      <w:pPr>
        <w:spacing w:after="0" w:line="240" w:lineRule="auto"/>
        <w:ind w:firstLine="851" w:left="0"/>
        <w:jc w:val="both"/>
        <w:rPr>
          <w:rFonts w:ascii="Times New Roman" w:hAnsi="Times New Roman"/>
          <w:sz w:val="28"/>
        </w:rPr>
      </w:pPr>
      <w:r>
        <w:rPr>
          <w:rFonts w:ascii="Times New Roman" w:hAnsi="Times New Roman"/>
          <w:sz w:val="28"/>
        </w:rPr>
        <w:t>При равенстве итогового балла заявки у нескольких претендентов более высокое рейтинговое место присваивается претенденту, заявка которого подана ранее остальных.</w:t>
      </w:r>
    </w:p>
    <w:p w14:paraId="01010000">
      <w:pPr>
        <w:spacing w:after="0" w:line="240" w:lineRule="auto"/>
        <w:ind w:firstLine="851" w:left="0"/>
        <w:jc w:val="both"/>
        <w:rPr>
          <w:rFonts w:ascii="Times New Roman" w:hAnsi="Times New Roman"/>
          <w:sz w:val="28"/>
        </w:rPr>
      </w:pPr>
      <w:r>
        <w:rPr>
          <w:rFonts w:ascii="Times New Roman" w:hAnsi="Times New Roman"/>
          <w:sz w:val="28"/>
        </w:rPr>
        <w:t xml:space="preserve">4.22. Решение о признании победителем конкурсного отбора принимается конкурсной комиссией </w:t>
      </w:r>
      <w:r>
        <w:rPr>
          <w:rFonts w:ascii="Times New Roman" w:hAnsi="Times New Roman"/>
          <w:sz w:val="28"/>
        </w:rPr>
        <w:t>в соответствии с итоговым рейтингом в порядке убывания итоговой оценки участников отбора в пределах лимитов бюджетных обязательств на предоставление</w:t>
      </w:r>
      <w:r>
        <w:rPr>
          <w:rFonts w:ascii="Times New Roman" w:hAnsi="Times New Roman"/>
          <w:sz w:val="28"/>
        </w:rPr>
        <w:t xml:space="preserve"> субсидии.</w:t>
      </w:r>
    </w:p>
    <w:p w14:paraId="02010000">
      <w:pPr>
        <w:spacing w:after="0" w:line="240" w:lineRule="auto"/>
        <w:ind w:firstLine="851" w:left="0"/>
        <w:jc w:val="both"/>
        <w:rPr>
          <w:rFonts w:ascii="Times New Roman" w:hAnsi="Times New Roman"/>
          <w:sz w:val="28"/>
        </w:rPr>
      </w:pPr>
      <w:r>
        <w:rPr>
          <w:rFonts w:ascii="Times New Roman" w:hAnsi="Times New Roman"/>
          <w:sz w:val="28"/>
        </w:rPr>
        <w:t>4.23. На основании протокола заседания конкурсной комиссии Администрацией не позднее 3-го рабочего дня со дня утверждения протокола заседания конкурсной комиссии формируется протокол подведения итогов отбора.</w:t>
      </w:r>
    </w:p>
    <w:p w14:paraId="03010000">
      <w:pPr>
        <w:spacing w:after="0" w:line="240" w:lineRule="auto"/>
        <w:ind w:firstLine="851" w:left="0"/>
        <w:jc w:val="both"/>
        <w:rPr>
          <w:rFonts w:ascii="Times New Roman" w:hAnsi="Times New Roman"/>
          <w:sz w:val="28"/>
        </w:rPr>
      </w:pPr>
      <w:r>
        <w:rPr>
          <w:rFonts w:ascii="Times New Roman" w:hAnsi="Times New Roman"/>
          <w:sz w:val="28"/>
        </w:rPr>
        <w:t>Протокол подведения итогов отбора формируется в системе «Электронный бюджет» автоматически на основании результатов определения победителя (победителей) отбора и подписывается усиленной квалифицированной электронной подписью председателя конкурсной комиссии (или уполномоченного им лица) в системе «Электронный бюджет» в течение 3 рабочих дней со дня его формирования, а также размещается в системе «Электронный бюджет» не позднее 1 рабочего дня, следующего за днем его подписания</w:t>
      </w:r>
      <w:r>
        <w:rPr>
          <w:rFonts w:ascii="Times New Roman" w:hAnsi="Times New Roman"/>
          <w:sz w:val="28"/>
        </w:rPr>
        <w:t>.</w:t>
      </w:r>
    </w:p>
    <w:p w14:paraId="04010000">
      <w:pPr>
        <w:spacing w:after="0" w:line="240" w:lineRule="auto"/>
        <w:ind w:firstLine="851" w:left="0"/>
        <w:jc w:val="both"/>
        <w:rPr>
          <w:rFonts w:ascii="Times New Roman" w:hAnsi="Times New Roman"/>
          <w:sz w:val="28"/>
        </w:rPr>
      </w:pPr>
      <w:r>
        <w:rPr>
          <w:rFonts w:ascii="Times New Roman" w:hAnsi="Times New Roman"/>
          <w:sz w:val="28"/>
        </w:rPr>
        <w:t>4.24. Протокол подведения итогов отбора включает следующие сведения:</w:t>
      </w:r>
    </w:p>
    <w:p w14:paraId="05010000">
      <w:pPr>
        <w:spacing w:after="0" w:line="240" w:lineRule="auto"/>
        <w:ind w:firstLine="851" w:left="0"/>
        <w:jc w:val="both"/>
        <w:rPr>
          <w:rFonts w:ascii="Times New Roman" w:hAnsi="Times New Roman"/>
          <w:sz w:val="28"/>
        </w:rPr>
      </w:pPr>
      <w:r>
        <w:rPr>
          <w:rFonts w:ascii="Times New Roman" w:hAnsi="Times New Roman"/>
          <w:sz w:val="28"/>
        </w:rPr>
        <w:t>дата, время и место проведения рассмотрения заявок;</w:t>
      </w:r>
    </w:p>
    <w:p w14:paraId="06010000">
      <w:pPr>
        <w:spacing w:after="0" w:line="240" w:lineRule="auto"/>
        <w:ind w:firstLine="851" w:left="0"/>
        <w:jc w:val="both"/>
        <w:rPr>
          <w:rFonts w:ascii="Times New Roman" w:hAnsi="Times New Roman"/>
          <w:sz w:val="28"/>
        </w:rPr>
      </w:pPr>
      <w:r>
        <w:rPr>
          <w:rFonts w:ascii="Times New Roman" w:hAnsi="Times New Roman"/>
          <w:sz w:val="28"/>
        </w:rPr>
        <w:t>дата, время и место оценки заявок;</w:t>
      </w:r>
    </w:p>
    <w:p w14:paraId="07010000">
      <w:pPr>
        <w:spacing w:after="0" w:line="240" w:lineRule="auto"/>
        <w:ind w:firstLine="851" w:left="0"/>
        <w:jc w:val="both"/>
        <w:rPr>
          <w:rFonts w:ascii="Times New Roman" w:hAnsi="Times New Roman"/>
          <w:sz w:val="28"/>
        </w:rPr>
      </w:pPr>
      <w:r>
        <w:rPr>
          <w:rFonts w:ascii="Times New Roman" w:hAnsi="Times New Roman"/>
          <w:sz w:val="28"/>
        </w:rPr>
        <w:t>информация о претендентах, заявки которых были рассмотрены;</w:t>
      </w:r>
    </w:p>
    <w:p w14:paraId="08010000">
      <w:pPr>
        <w:spacing w:after="0" w:line="240" w:lineRule="auto"/>
        <w:ind w:firstLine="851" w:left="0"/>
        <w:jc w:val="both"/>
        <w:rPr>
          <w:rFonts w:ascii="Times New Roman" w:hAnsi="Times New Roman"/>
          <w:sz w:val="28"/>
        </w:rPr>
      </w:pPr>
      <w:r>
        <w:rPr>
          <w:rFonts w:ascii="Times New Roman" w:hAnsi="Times New Roman"/>
          <w:sz w:val="28"/>
        </w:rPr>
        <w:t>информация о претендентах,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09010000">
      <w:pPr>
        <w:spacing w:after="0" w:line="240" w:lineRule="auto"/>
        <w:ind w:firstLine="851" w:left="0"/>
        <w:jc w:val="both"/>
        <w:rPr>
          <w:rFonts w:ascii="Times New Roman" w:hAnsi="Times New Roman"/>
          <w:sz w:val="28"/>
        </w:rPr>
      </w:pPr>
      <w:r>
        <w:rPr>
          <w:rFonts w:ascii="Times New Roman" w:hAnsi="Times New Roman"/>
          <w:sz w:val="28"/>
        </w:rPr>
        <w:t>последовательность оценки заявок, присвоенные заявкам значения по каждому из критериев оценки, принятое на основании результатов оценки заявок решение о присвоении заявкам порядковых номеров;</w:t>
      </w:r>
    </w:p>
    <w:p w14:paraId="0A010000">
      <w:pPr>
        <w:spacing w:after="0" w:line="240" w:lineRule="auto"/>
        <w:ind w:firstLine="851" w:left="0"/>
        <w:jc w:val="both"/>
        <w:rPr>
          <w:rFonts w:ascii="Times New Roman" w:hAnsi="Times New Roman"/>
          <w:sz w:val="28"/>
        </w:rPr>
      </w:pPr>
      <w:r>
        <w:rPr>
          <w:rFonts w:ascii="Times New Roman" w:hAnsi="Times New Roman"/>
          <w:sz w:val="28"/>
        </w:rPr>
        <w:t>наименование победител</w:t>
      </w:r>
      <w:r>
        <w:rPr>
          <w:rFonts w:ascii="Times New Roman" w:hAnsi="Times New Roman"/>
          <w:sz w:val="28"/>
        </w:rPr>
        <w:t>я(</w:t>
      </w:r>
      <w:r>
        <w:rPr>
          <w:rFonts w:ascii="Times New Roman" w:hAnsi="Times New Roman"/>
          <w:sz w:val="28"/>
        </w:rPr>
        <w:t>лей) конкурсного отбора, с которым заключается соглашение о предоставлении субсидии, и размер предоставляемой ему субсидии.</w:t>
      </w:r>
    </w:p>
    <w:p w14:paraId="0B010000">
      <w:pPr>
        <w:spacing w:after="0" w:line="240" w:lineRule="auto"/>
        <w:ind w:firstLine="851" w:left="0"/>
        <w:jc w:val="both"/>
        <w:rPr>
          <w:rFonts w:ascii="Times New Roman" w:hAnsi="Times New Roman"/>
          <w:sz w:val="28"/>
        </w:rPr>
      </w:pPr>
      <w:r>
        <w:rPr>
          <w:rFonts w:ascii="Times New Roman" w:hAnsi="Times New Roman"/>
          <w:sz w:val="28"/>
        </w:rPr>
        <w:t xml:space="preserve">4.25. На основании решения конкурсной комиссии Администрация в течение 5 рабочих дней со дня </w:t>
      </w:r>
      <w:r>
        <w:rPr>
          <w:rFonts w:ascii="Times New Roman" w:hAnsi="Times New Roman"/>
          <w:sz w:val="28"/>
        </w:rPr>
        <w:t>размещения протокола подведения итогов отбора</w:t>
      </w:r>
      <w:r>
        <w:rPr>
          <w:rFonts w:ascii="Times New Roman" w:hAnsi="Times New Roman"/>
          <w:sz w:val="28"/>
        </w:rPr>
        <w:t xml:space="preserve"> в системе «Электронный бюджет» разрабатывает проект постановления Администрации о предоставлении субсидии.</w:t>
      </w:r>
    </w:p>
    <w:p w14:paraId="0C010000">
      <w:pPr>
        <w:spacing w:after="0" w:line="240" w:lineRule="auto"/>
        <w:ind w:firstLine="851" w:left="0"/>
        <w:jc w:val="both"/>
        <w:rPr>
          <w:rFonts w:ascii="Times New Roman" w:hAnsi="Times New Roman"/>
          <w:sz w:val="28"/>
        </w:rPr>
      </w:pPr>
      <w:r>
        <w:rPr>
          <w:rFonts w:ascii="Times New Roman" w:hAnsi="Times New Roman"/>
          <w:sz w:val="28"/>
        </w:rPr>
        <w:t>В случае принятия решения о предоставлении субсидии Администрация в срок, не превышающий 25 рабочих дней со дня принятия постановления Администрации, уведомляет претендента о принятом решении путем направления проекта соглашения в системе «Электронный бюджет».</w:t>
      </w:r>
    </w:p>
    <w:p w14:paraId="0D010000">
      <w:pPr>
        <w:spacing w:after="0" w:line="240" w:lineRule="auto"/>
        <w:ind w:firstLine="851" w:left="0"/>
        <w:jc w:val="both"/>
        <w:rPr>
          <w:rFonts w:ascii="Times New Roman" w:hAnsi="Times New Roman"/>
          <w:sz w:val="28"/>
        </w:rPr>
      </w:pPr>
      <w:r>
        <w:rPr>
          <w:rFonts w:ascii="Times New Roman" w:hAnsi="Times New Roman"/>
          <w:sz w:val="28"/>
        </w:rPr>
        <w:t xml:space="preserve">В случае отказа в предоставлении субсидии Администрация в течение 5 рабочих дней </w:t>
      </w:r>
      <w:r>
        <w:rPr>
          <w:rFonts w:ascii="Times New Roman" w:hAnsi="Times New Roman"/>
          <w:sz w:val="28"/>
        </w:rPr>
        <w:t>с даты принятия</w:t>
      </w:r>
      <w:r>
        <w:rPr>
          <w:rFonts w:ascii="Times New Roman" w:hAnsi="Times New Roman"/>
          <w:sz w:val="28"/>
        </w:rPr>
        <w:t xml:space="preserve"> решения об отказе в предоставлении субсидии уведомляет претендента посредством почтового отправления или по адресу электронной почты с указанием причин отказа.</w:t>
      </w:r>
    </w:p>
    <w:p w14:paraId="0E010000">
      <w:pPr>
        <w:spacing w:after="0" w:line="240" w:lineRule="auto"/>
        <w:ind w:firstLine="709" w:left="0"/>
        <w:jc w:val="both"/>
        <w:rPr>
          <w:rFonts w:ascii="Times New Roman" w:hAnsi="Times New Roman"/>
          <w:color w:val="000000"/>
          <w:sz w:val="28"/>
        </w:rPr>
      </w:pPr>
    </w:p>
    <w:p w14:paraId="0F010000">
      <w:pPr>
        <w:spacing w:after="0" w:line="240" w:lineRule="auto"/>
        <w:ind w:firstLine="709" w:left="0"/>
        <w:jc w:val="both"/>
        <w:rPr>
          <w:rFonts w:ascii="Times New Roman" w:hAnsi="Times New Roman"/>
          <w:sz w:val="28"/>
        </w:rPr>
      </w:pPr>
    </w:p>
    <w:p w14:paraId="10010000">
      <w:pPr>
        <w:spacing w:after="0" w:line="240" w:lineRule="auto"/>
        <w:ind w:firstLine="709" w:left="0"/>
        <w:jc w:val="both"/>
        <w:rPr>
          <w:rFonts w:ascii="Times New Roman" w:hAnsi="Times New Roman"/>
          <w:sz w:val="28"/>
        </w:rPr>
      </w:pPr>
    </w:p>
    <w:p w14:paraId="11010000">
      <w:pPr>
        <w:sectPr>
          <w:headerReference r:id="rId3" w:type="default"/>
          <w:pgSz w:h="16838" w:orient="portrait" w:w="11905"/>
          <w:pgMar w:bottom="1134" w:footer="0" w:gutter="0" w:header="0" w:left="1701" w:right="851" w:top="1134"/>
          <w:titlePg/>
        </w:sectPr>
      </w:pPr>
    </w:p>
    <w:p w14:paraId="12010000">
      <w:pPr>
        <w:spacing w:after="0" w:line="240" w:lineRule="auto"/>
        <w:ind w:firstLine="709" w:left="0"/>
        <w:jc w:val="right"/>
        <w:rPr>
          <w:rFonts w:ascii="Times New Roman" w:hAnsi="Times New Roman"/>
          <w:b w:val="1"/>
          <w:sz w:val="28"/>
        </w:rPr>
      </w:pPr>
      <w:r>
        <w:rPr>
          <w:rFonts w:ascii="Times New Roman" w:hAnsi="Times New Roman"/>
          <w:sz w:val="28"/>
        </w:rPr>
        <w:t>Приложение № 1</w:t>
      </w:r>
    </w:p>
    <w:p w14:paraId="13010000">
      <w:pPr>
        <w:spacing w:after="0" w:line="240" w:lineRule="auto"/>
        <w:ind/>
        <w:jc w:val="right"/>
        <w:rPr>
          <w:rFonts w:ascii="Times New Roman" w:hAnsi="Times New Roman"/>
          <w:sz w:val="28"/>
        </w:rPr>
      </w:pPr>
      <w:r>
        <w:rPr>
          <w:rFonts w:ascii="Times New Roman" w:hAnsi="Times New Roman"/>
          <w:sz w:val="28"/>
        </w:rPr>
        <w:t xml:space="preserve">к </w:t>
      </w:r>
      <w:r>
        <w:rPr>
          <w:rFonts w:ascii="Times New Roman" w:hAnsi="Times New Roman"/>
          <w:sz w:val="28"/>
        </w:rPr>
        <w:t xml:space="preserve">Порядку </w:t>
      </w:r>
      <w:r>
        <w:rPr>
          <w:rFonts w:ascii="Times New Roman" w:hAnsi="Times New Roman"/>
          <w:sz w:val="28"/>
        </w:rPr>
        <w:t xml:space="preserve">«Субсидирование части затрат, </w:t>
      </w:r>
    </w:p>
    <w:p w14:paraId="14010000">
      <w:pPr>
        <w:keepNext w:val="1"/>
        <w:spacing w:after="0" w:line="240" w:lineRule="auto"/>
        <w:ind w:firstLine="0" w:left="-993"/>
        <w:jc w:val="right"/>
        <w:outlineLvl w:val="3"/>
        <w:rPr>
          <w:rFonts w:ascii="Times New Roman" w:hAnsi="Times New Roman"/>
          <w:sz w:val="28"/>
        </w:rPr>
      </w:pPr>
      <w:r>
        <w:rPr>
          <w:rFonts w:ascii="Times New Roman" w:hAnsi="Times New Roman"/>
          <w:sz w:val="28"/>
        </w:rPr>
        <w:t>связанных</w:t>
      </w:r>
      <w:r>
        <w:rPr>
          <w:rFonts w:ascii="Times New Roman" w:hAnsi="Times New Roman"/>
          <w:sz w:val="28"/>
        </w:rPr>
        <w:t xml:space="preserve"> с технологическим присоединением</w:t>
      </w:r>
    </w:p>
    <w:p w14:paraId="15010000">
      <w:pPr>
        <w:spacing w:after="0" w:line="240" w:lineRule="auto"/>
        <w:ind/>
        <w:jc w:val="right"/>
        <w:rPr>
          <w:rFonts w:ascii="Times New Roman" w:hAnsi="Times New Roman"/>
          <w:sz w:val="28"/>
        </w:rPr>
      </w:pP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p>
    <w:p w14:paraId="16010000">
      <w:pPr>
        <w:spacing w:after="0" w:line="240" w:lineRule="auto"/>
        <w:ind/>
        <w:rPr>
          <w:rFonts w:ascii="Times New Roman" w:hAnsi="Times New Roman"/>
          <w:sz w:val="28"/>
        </w:rPr>
      </w:pPr>
    </w:p>
    <w:p w14:paraId="17010000">
      <w:pPr>
        <w:spacing w:after="0" w:line="240" w:lineRule="auto"/>
        <w:ind/>
        <w:jc w:val="center"/>
        <w:rPr>
          <w:rFonts w:ascii="Times New Roman" w:hAnsi="Times New Roman"/>
          <w:b w:val="1"/>
          <w:sz w:val="28"/>
        </w:rPr>
      </w:pPr>
      <w:r>
        <w:rPr>
          <w:rFonts w:ascii="Times New Roman" w:hAnsi="Times New Roman"/>
          <w:b w:val="1"/>
          <w:sz w:val="28"/>
        </w:rPr>
        <w:t>Критерии оценки заявок</w:t>
      </w:r>
    </w:p>
    <w:p w14:paraId="18010000">
      <w:pPr>
        <w:spacing w:after="0" w:line="240" w:lineRule="auto"/>
        <w:ind/>
        <w:jc w:val="center"/>
        <w:rPr>
          <w:rFonts w:ascii="Times New Roman" w:hAnsi="Times New Roman"/>
          <w:b w:val="1"/>
          <w:sz w:val="28"/>
        </w:rPr>
      </w:pPr>
    </w:p>
    <w:p w14:paraId="19010000">
      <w:pPr>
        <w:spacing w:after="0" w:line="240" w:lineRule="auto"/>
        <w:ind/>
        <w:jc w:val="center"/>
        <w:rPr>
          <w:rFonts w:ascii="Times New Roman" w:hAnsi="Times New Roman"/>
          <w:sz w:val="28"/>
        </w:rPr>
      </w:pPr>
      <w:r>
        <w:rPr>
          <w:rFonts w:ascii="Times New Roman" w:hAnsi="Times New Roman"/>
          <w:sz w:val="28"/>
        </w:rPr>
        <w:t>Оценочная ведомость</w:t>
      </w:r>
    </w:p>
    <w:p w14:paraId="1A010000">
      <w:pPr>
        <w:spacing w:after="0" w:line="240" w:lineRule="auto"/>
        <w:ind/>
        <w:jc w:val="center"/>
        <w:rPr>
          <w:rFonts w:ascii="Times New Roman" w:hAnsi="Times New Roman"/>
          <w:sz w:val="28"/>
        </w:rPr>
      </w:pPr>
      <w:r>
        <w:rPr>
          <w:rFonts w:ascii="Times New Roman" w:hAnsi="Times New Roman"/>
          <w:sz w:val="28"/>
        </w:rPr>
        <w:t>________________________________</w:t>
      </w:r>
    </w:p>
    <w:p w14:paraId="1B010000">
      <w:pPr>
        <w:spacing w:after="0" w:line="240" w:lineRule="auto"/>
        <w:ind/>
        <w:jc w:val="center"/>
        <w:rPr>
          <w:rFonts w:ascii="Times New Roman" w:hAnsi="Times New Roman"/>
          <w:sz w:val="20"/>
        </w:rPr>
      </w:pPr>
      <w:r>
        <w:rPr>
          <w:rFonts w:ascii="Times New Roman" w:hAnsi="Times New Roman"/>
          <w:sz w:val="20"/>
        </w:rPr>
        <w:t>(наименование проекта)</w:t>
      </w:r>
    </w:p>
    <w:p w14:paraId="1C010000">
      <w:pPr>
        <w:widowControl w:val="0"/>
        <w:spacing w:after="0" w:line="240" w:lineRule="auto"/>
        <w:ind/>
        <w:jc w:val="right"/>
        <w:rPr>
          <w:rFonts w:ascii="Times New Roman" w:hAnsi="Times New Roman"/>
          <w:sz w:val="28"/>
        </w:rPr>
      </w:pPr>
    </w:p>
    <w:tbl>
      <w:tblPr>
        <w:tblStyle w:val="Style_6"/>
        <w:tblW w:type="auto" w:w="0"/>
        <w:tblLayout w:type="fixed"/>
      </w:tblPr>
      <w:tblGrid>
        <w:gridCol w:w="540"/>
        <w:gridCol w:w="4104"/>
        <w:gridCol w:w="4253"/>
        <w:gridCol w:w="4819"/>
        <w:gridCol w:w="1352"/>
      </w:tblGrid>
      <w:tr>
        <w:tc>
          <w:tcPr>
            <w:tcW w:type="dxa" w:w="540"/>
            <w:vAlign w:val="center"/>
          </w:tcPr>
          <w:p w14:paraId="1D010000">
            <w:pPr>
              <w:widowControl w:val="0"/>
              <w:ind/>
              <w:jc w:val="center"/>
              <w:rPr>
                <w:rFonts w:ascii="Times New Roman" w:hAnsi="Times New Roman"/>
                <w:sz w:val="24"/>
              </w:rPr>
            </w:pPr>
            <w:r>
              <w:rPr>
                <w:rFonts w:ascii="Times New Roman" w:hAnsi="Times New Roman"/>
                <w:sz w:val="24"/>
              </w:rPr>
              <w:t xml:space="preserve">№ </w:t>
            </w:r>
            <w:r>
              <w:rPr>
                <w:rFonts w:ascii="Times New Roman" w:hAnsi="Times New Roman"/>
                <w:sz w:val="24"/>
              </w:rPr>
              <w:t>п</w:t>
            </w:r>
            <w:r>
              <w:rPr>
                <w:rFonts w:ascii="Times New Roman" w:hAnsi="Times New Roman"/>
                <w:sz w:val="24"/>
              </w:rPr>
              <w:t>/п</w:t>
            </w:r>
          </w:p>
        </w:tc>
        <w:tc>
          <w:tcPr>
            <w:tcW w:type="dxa" w:w="4104"/>
            <w:vAlign w:val="center"/>
          </w:tcPr>
          <w:p w14:paraId="1E010000">
            <w:pPr>
              <w:widowControl w:val="0"/>
              <w:ind/>
              <w:jc w:val="center"/>
              <w:rPr>
                <w:rFonts w:ascii="Times New Roman" w:hAnsi="Times New Roman"/>
                <w:sz w:val="24"/>
              </w:rPr>
            </w:pPr>
            <w:r>
              <w:rPr>
                <w:rFonts w:ascii="Times New Roman" w:hAnsi="Times New Roman"/>
                <w:sz w:val="24"/>
              </w:rPr>
              <w:t>Наименование критериев оценки</w:t>
            </w:r>
          </w:p>
        </w:tc>
        <w:tc>
          <w:tcPr>
            <w:tcW w:type="dxa" w:w="9072"/>
            <w:gridSpan w:val="2"/>
            <w:vAlign w:val="center"/>
          </w:tcPr>
          <w:p w14:paraId="1F010000">
            <w:pPr>
              <w:widowControl w:val="0"/>
              <w:ind/>
              <w:jc w:val="center"/>
              <w:rPr>
                <w:rFonts w:ascii="Times New Roman" w:hAnsi="Times New Roman"/>
                <w:sz w:val="24"/>
              </w:rPr>
            </w:pPr>
            <w:r>
              <w:rPr>
                <w:rFonts w:ascii="Times New Roman" w:hAnsi="Times New Roman"/>
                <w:sz w:val="24"/>
              </w:rPr>
              <w:t>Оценки в баллах</w:t>
            </w:r>
          </w:p>
        </w:tc>
        <w:tc>
          <w:tcPr>
            <w:tcW w:type="dxa" w:w="1352"/>
            <w:vAlign w:val="center"/>
          </w:tcPr>
          <w:p w14:paraId="20010000">
            <w:pPr>
              <w:widowControl w:val="0"/>
              <w:ind/>
              <w:jc w:val="center"/>
              <w:rPr>
                <w:rFonts w:ascii="Times New Roman" w:hAnsi="Times New Roman"/>
                <w:sz w:val="24"/>
              </w:rPr>
            </w:pPr>
            <w:r>
              <w:rPr>
                <w:rFonts w:ascii="Times New Roman" w:hAnsi="Times New Roman"/>
                <w:sz w:val="24"/>
              </w:rPr>
              <w:t>Итоговое значение балла</w:t>
            </w:r>
          </w:p>
        </w:tc>
      </w:tr>
      <w:tr>
        <w:tc>
          <w:tcPr>
            <w:tcW w:type="dxa" w:w="540"/>
            <w:vAlign w:val="center"/>
          </w:tcPr>
          <w:p w14:paraId="21010000">
            <w:pPr>
              <w:widowControl w:val="0"/>
              <w:ind/>
              <w:jc w:val="center"/>
              <w:rPr>
                <w:rFonts w:ascii="Times New Roman" w:hAnsi="Times New Roman"/>
                <w:sz w:val="24"/>
              </w:rPr>
            </w:pPr>
            <w:r>
              <w:rPr>
                <w:rFonts w:ascii="Times New Roman" w:hAnsi="Times New Roman"/>
                <w:sz w:val="24"/>
              </w:rPr>
              <w:t>1</w:t>
            </w:r>
          </w:p>
        </w:tc>
        <w:tc>
          <w:tcPr>
            <w:tcW w:type="dxa" w:w="4104"/>
            <w:vAlign w:val="center"/>
          </w:tcPr>
          <w:p w14:paraId="22010000">
            <w:pPr>
              <w:widowControl w:val="0"/>
              <w:ind/>
              <w:jc w:val="center"/>
              <w:rPr>
                <w:rFonts w:ascii="Times New Roman" w:hAnsi="Times New Roman"/>
                <w:sz w:val="24"/>
              </w:rPr>
            </w:pPr>
            <w:r>
              <w:rPr>
                <w:rFonts w:ascii="Times New Roman" w:hAnsi="Times New Roman"/>
                <w:sz w:val="24"/>
              </w:rPr>
              <w:t>2</w:t>
            </w:r>
          </w:p>
        </w:tc>
        <w:tc>
          <w:tcPr>
            <w:tcW w:type="dxa" w:w="4253"/>
            <w:vAlign w:val="center"/>
          </w:tcPr>
          <w:p w14:paraId="23010000">
            <w:pPr>
              <w:widowControl w:val="0"/>
              <w:ind/>
              <w:jc w:val="center"/>
              <w:rPr>
                <w:rFonts w:ascii="Times New Roman" w:hAnsi="Times New Roman"/>
                <w:sz w:val="24"/>
              </w:rPr>
            </w:pPr>
            <w:r>
              <w:rPr>
                <w:rFonts w:ascii="Times New Roman" w:hAnsi="Times New Roman"/>
                <w:sz w:val="24"/>
              </w:rPr>
              <w:t>3</w:t>
            </w:r>
          </w:p>
        </w:tc>
        <w:tc>
          <w:tcPr>
            <w:tcW w:type="dxa" w:w="4819"/>
            <w:vAlign w:val="center"/>
          </w:tcPr>
          <w:p w14:paraId="24010000">
            <w:pPr>
              <w:widowControl w:val="0"/>
              <w:ind/>
              <w:jc w:val="center"/>
              <w:rPr>
                <w:rFonts w:ascii="Times New Roman" w:hAnsi="Times New Roman"/>
                <w:sz w:val="24"/>
              </w:rPr>
            </w:pPr>
            <w:r>
              <w:rPr>
                <w:rFonts w:ascii="Times New Roman" w:hAnsi="Times New Roman"/>
                <w:sz w:val="24"/>
              </w:rPr>
              <w:t>4</w:t>
            </w:r>
          </w:p>
        </w:tc>
        <w:tc>
          <w:tcPr>
            <w:tcW w:type="dxa" w:w="1352"/>
            <w:vAlign w:val="center"/>
          </w:tcPr>
          <w:p w14:paraId="25010000">
            <w:pPr>
              <w:widowControl w:val="0"/>
              <w:ind/>
              <w:jc w:val="center"/>
              <w:rPr>
                <w:rFonts w:ascii="Times New Roman" w:hAnsi="Times New Roman"/>
                <w:sz w:val="24"/>
              </w:rPr>
            </w:pPr>
            <w:r>
              <w:rPr>
                <w:rFonts w:ascii="Times New Roman" w:hAnsi="Times New Roman"/>
                <w:sz w:val="24"/>
              </w:rPr>
              <w:t>5</w:t>
            </w:r>
          </w:p>
        </w:tc>
      </w:tr>
      <w:tr>
        <w:tc>
          <w:tcPr>
            <w:tcW w:type="dxa" w:w="540"/>
            <w:vMerge w:val="restart"/>
            <w:vAlign w:val="center"/>
          </w:tcPr>
          <w:p w14:paraId="26010000">
            <w:pPr>
              <w:widowControl w:val="0"/>
              <w:ind/>
              <w:jc w:val="center"/>
              <w:rPr>
                <w:rFonts w:ascii="Times New Roman" w:hAnsi="Times New Roman"/>
                <w:sz w:val="24"/>
              </w:rPr>
            </w:pPr>
            <w:r>
              <w:rPr>
                <w:rFonts w:ascii="Times New Roman" w:hAnsi="Times New Roman"/>
                <w:sz w:val="24"/>
              </w:rPr>
              <w:t>1</w:t>
            </w:r>
          </w:p>
        </w:tc>
        <w:tc>
          <w:tcPr>
            <w:tcW w:type="dxa" w:w="4104"/>
            <w:vMerge w:val="restart"/>
            <w:vAlign w:val="center"/>
          </w:tcPr>
          <w:p w14:paraId="27010000">
            <w:pPr>
              <w:widowControl w:val="0"/>
              <w:ind/>
              <w:jc w:val="center"/>
              <w:rPr>
                <w:rFonts w:ascii="Times New Roman" w:hAnsi="Times New Roman"/>
                <w:sz w:val="24"/>
              </w:rPr>
            </w:pPr>
            <w:r>
              <w:rPr>
                <w:rFonts w:ascii="Times New Roman" w:hAnsi="Times New Roman"/>
                <w:sz w:val="24"/>
              </w:rPr>
              <w:t>Количество создаваемых новых рабочих мест</w:t>
            </w:r>
          </w:p>
        </w:tc>
        <w:tc>
          <w:tcPr>
            <w:tcW w:type="dxa" w:w="4253"/>
            <w:vAlign w:val="center"/>
          </w:tcPr>
          <w:p w14:paraId="28010000">
            <w:pPr>
              <w:widowControl w:val="0"/>
              <w:ind/>
              <w:jc w:val="center"/>
              <w:rPr>
                <w:rFonts w:ascii="Times New Roman" w:hAnsi="Times New Roman"/>
                <w:sz w:val="24"/>
              </w:rPr>
            </w:pPr>
            <w:r>
              <w:rPr>
                <w:rFonts w:ascii="Times New Roman" w:hAnsi="Times New Roman"/>
                <w:sz w:val="24"/>
              </w:rPr>
              <w:t>Создание от 1 до 2 новых рабочих мест (включительно) - 1 балл.</w:t>
            </w:r>
          </w:p>
        </w:tc>
        <w:tc>
          <w:tcPr>
            <w:tcW w:type="dxa" w:w="4819"/>
            <w:vAlign w:val="center"/>
          </w:tcPr>
          <w:p w14:paraId="29010000">
            <w:pPr>
              <w:widowControl w:val="0"/>
              <w:ind/>
              <w:jc w:val="center"/>
              <w:rPr>
                <w:rFonts w:ascii="Times New Roman" w:hAnsi="Times New Roman"/>
                <w:sz w:val="24"/>
              </w:rPr>
            </w:pPr>
            <w:r>
              <w:rPr>
                <w:rFonts w:ascii="Times New Roman" w:hAnsi="Times New Roman"/>
                <w:sz w:val="24"/>
              </w:rPr>
              <w:t>Создание 3 и более новых рабочих мест - 2 балла.</w:t>
            </w:r>
          </w:p>
        </w:tc>
        <w:tc>
          <w:tcPr>
            <w:tcW w:type="dxa" w:w="1352"/>
            <w:vAlign w:val="center"/>
          </w:tcPr>
          <w:p w14:paraId="2A010000">
            <w:pPr>
              <w:widowControl w:val="0"/>
              <w:ind/>
              <w:jc w:val="center"/>
              <w:rPr>
                <w:rFonts w:ascii="Times New Roman" w:hAnsi="Times New Roman"/>
                <w:sz w:val="24"/>
              </w:rPr>
            </w:pPr>
          </w:p>
        </w:tc>
      </w:tr>
      <w:tr>
        <w:tc>
          <w:tcPr>
            <w:tcW w:type="dxa" w:w="540"/>
            <w:gridSpan w:val="1"/>
            <w:vMerge w:val="continue"/>
            <w:vAlign w:val="center"/>
          </w:tcPr>
          <w:p/>
        </w:tc>
        <w:tc>
          <w:tcPr>
            <w:tcW w:type="dxa" w:w="4104"/>
            <w:gridSpan w:val="1"/>
            <w:vMerge w:val="continue"/>
            <w:vAlign w:val="center"/>
          </w:tcPr>
          <w:p/>
        </w:tc>
        <w:tc>
          <w:tcPr>
            <w:tcW w:type="dxa" w:w="4253"/>
            <w:vAlign w:val="center"/>
          </w:tcPr>
          <w:p w14:paraId="2B010000">
            <w:pPr>
              <w:widowControl w:val="0"/>
              <w:ind/>
              <w:jc w:val="center"/>
              <w:rPr>
                <w:rFonts w:ascii="Times New Roman" w:hAnsi="Times New Roman"/>
                <w:sz w:val="24"/>
              </w:rPr>
            </w:pPr>
          </w:p>
        </w:tc>
        <w:tc>
          <w:tcPr>
            <w:tcW w:type="dxa" w:w="4819"/>
            <w:vAlign w:val="center"/>
          </w:tcPr>
          <w:p w14:paraId="2C010000">
            <w:pPr>
              <w:widowControl w:val="0"/>
              <w:ind/>
              <w:jc w:val="center"/>
              <w:rPr>
                <w:rFonts w:ascii="Times New Roman" w:hAnsi="Times New Roman"/>
                <w:sz w:val="24"/>
              </w:rPr>
            </w:pPr>
          </w:p>
        </w:tc>
        <w:tc>
          <w:tcPr>
            <w:tcW w:type="dxa" w:w="1352"/>
            <w:vAlign w:val="center"/>
          </w:tcPr>
          <w:p w14:paraId="2D010000">
            <w:pPr>
              <w:widowControl w:val="0"/>
              <w:ind/>
              <w:jc w:val="center"/>
              <w:rPr>
                <w:rFonts w:ascii="Times New Roman" w:hAnsi="Times New Roman"/>
                <w:sz w:val="24"/>
              </w:rPr>
            </w:pPr>
          </w:p>
        </w:tc>
      </w:tr>
      <w:tr>
        <w:tc>
          <w:tcPr>
            <w:tcW w:type="dxa" w:w="540"/>
            <w:vMerge w:val="restart"/>
            <w:vAlign w:val="center"/>
          </w:tcPr>
          <w:p w14:paraId="2E010000">
            <w:pPr>
              <w:widowControl w:val="0"/>
              <w:ind/>
              <w:jc w:val="center"/>
              <w:rPr>
                <w:rFonts w:ascii="Times New Roman" w:hAnsi="Times New Roman"/>
                <w:sz w:val="24"/>
              </w:rPr>
            </w:pPr>
            <w:r>
              <w:rPr>
                <w:rFonts w:ascii="Times New Roman" w:hAnsi="Times New Roman"/>
                <w:sz w:val="24"/>
              </w:rPr>
              <w:t>2</w:t>
            </w:r>
          </w:p>
        </w:tc>
        <w:tc>
          <w:tcPr>
            <w:tcW w:type="dxa" w:w="4104"/>
            <w:vMerge w:val="restart"/>
            <w:vAlign w:val="center"/>
          </w:tcPr>
          <w:p w14:paraId="2F010000">
            <w:pPr>
              <w:widowControl w:val="0"/>
              <w:ind/>
              <w:jc w:val="center"/>
              <w:rPr>
                <w:rFonts w:ascii="Times New Roman" w:hAnsi="Times New Roman"/>
                <w:sz w:val="24"/>
              </w:rPr>
            </w:pPr>
            <w:r>
              <w:rPr>
                <w:rFonts w:ascii="Times New Roman" w:hAnsi="Times New Roman"/>
                <w:sz w:val="24"/>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type="dxa" w:w="4253"/>
            <w:vAlign w:val="center"/>
          </w:tcPr>
          <w:p w14:paraId="30010000">
            <w:pPr>
              <w:widowControl w:val="0"/>
              <w:ind/>
              <w:jc w:val="center"/>
              <w:rPr>
                <w:rFonts w:ascii="Times New Roman" w:hAnsi="Times New Roman"/>
                <w:sz w:val="24"/>
              </w:rPr>
            </w:pPr>
            <w:r>
              <w:rPr>
                <w:rFonts w:ascii="Times New Roman" w:hAnsi="Times New Roman"/>
                <w:sz w:val="24"/>
              </w:rPr>
              <w:t>Внедрение более совершенной техники, технологии и организации работ в основном производстве - 2 балла.</w:t>
            </w:r>
          </w:p>
          <w:p w14:paraId="31010000">
            <w:pPr>
              <w:widowControl w:val="0"/>
              <w:ind/>
              <w:jc w:val="center"/>
              <w:rPr>
                <w:rFonts w:ascii="Times New Roman" w:hAnsi="Times New Roman"/>
                <w:sz w:val="24"/>
              </w:rPr>
            </w:pPr>
          </w:p>
        </w:tc>
        <w:tc>
          <w:tcPr>
            <w:tcW w:type="dxa" w:w="4819"/>
            <w:vAlign w:val="center"/>
          </w:tcPr>
          <w:p w14:paraId="32010000">
            <w:pPr>
              <w:widowControl w:val="0"/>
              <w:ind/>
              <w:jc w:val="center"/>
              <w:rPr>
                <w:rFonts w:ascii="Times New Roman" w:hAnsi="Times New Roman"/>
                <w:sz w:val="24"/>
              </w:rPr>
            </w:pPr>
            <w:r>
              <w:rPr>
                <w:rFonts w:ascii="Times New Roman" w:hAnsi="Times New Roman"/>
                <w:sz w:val="24"/>
              </w:rPr>
              <w:t>Внедрение более совершенной техники, технологии и организации работ во вспомогательном производстве - 1 балл.</w:t>
            </w:r>
          </w:p>
        </w:tc>
        <w:tc>
          <w:tcPr>
            <w:tcW w:type="dxa" w:w="1352"/>
            <w:vAlign w:val="center"/>
          </w:tcPr>
          <w:p w14:paraId="33010000">
            <w:pPr>
              <w:widowControl w:val="0"/>
              <w:ind/>
              <w:jc w:val="center"/>
              <w:rPr>
                <w:rFonts w:ascii="Times New Roman" w:hAnsi="Times New Roman"/>
                <w:sz w:val="24"/>
              </w:rPr>
            </w:pPr>
          </w:p>
        </w:tc>
      </w:tr>
      <w:tr>
        <w:tc>
          <w:tcPr>
            <w:tcW w:type="dxa" w:w="540"/>
            <w:gridSpan w:val="1"/>
            <w:vMerge w:val="continue"/>
            <w:vAlign w:val="center"/>
          </w:tcPr>
          <w:p/>
        </w:tc>
        <w:tc>
          <w:tcPr>
            <w:tcW w:type="dxa" w:w="4104"/>
            <w:gridSpan w:val="1"/>
            <w:vMerge w:val="continue"/>
            <w:vAlign w:val="center"/>
          </w:tcPr>
          <w:p/>
        </w:tc>
        <w:tc>
          <w:tcPr>
            <w:tcW w:type="dxa" w:w="4253"/>
            <w:vAlign w:val="center"/>
          </w:tcPr>
          <w:p w14:paraId="34010000">
            <w:pPr>
              <w:widowControl w:val="0"/>
              <w:ind/>
              <w:jc w:val="center"/>
              <w:rPr>
                <w:rFonts w:ascii="Times New Roman" w:hAnsi="Times New Roman"/>
                <w:sz w:val="24"/>
              </w:rPr>
            </w:pPr>
          </w:p>
        </w:tc>
        <w:tc>
          <w:tcPr>
            <w:tcW w:type="dxa" w:w="4819"/>
            <w:vAlign w:val="center"/>
          </w:tcPr>
          <w:p w14:paraId="35010000">
            <w:pPr>
              <w:widowControl w:val="0"/>
              <w:ind/>
              <w:jc w:val="center"/>
              <w:rPr>
                <w:rFonts w:ascii="Times New Roman" w:hAnsi="Times New Roman"/>
                <w:sz w:val="24"/>
              </w:rPr>
            </w:pPr>
          </w:p>
        </w:tc>
        <w:tc>
          <w:tcPr>
            <w:tcW w:type="dxa" w:w="1352"/>
            <w:vAlign w:val="center"/>
          </w:tcPr>
          <w:p w14:paraId="36010000">
            <w:pPr>
              <w:widowControl w:val="0"/>
              <w:ind/>
              <w:jc w:val="center"/>
              <w:rPr>
                <w:rFonts w:ascii="Times New Roman" w:hAnsi="Times New Roman"/>
                <w:sz w:val="24"/>
              </w:rPr>
            </w:pPr>
          </w:p>
        </w:tc>
      </w:tr>
      <w:tr>
        <w:trPr>
          <w:trHeight w:hRule="atLeast" w:val="1450"/>
        </w:trPr>
        <w:tc>
          <w:tcPr>
            <w:tcW w:type="dxa" w:w="540"/>
            <w:vMerge w:val="restart"/>
            <w:vAlign w:val="center"/>
          </w:tcPr>
          <w:p w14:paraId="37010000">
            <w:pPr>
              <w:widowControl w:val="0"/>
              <w:ind/>
              <w:jc w:val="center"/>
              <w:rPr>
                <w:rFonts w:ascii="Times New Roman" w:hAnsi="Times New Roman"/>
                <w:sz w:val="24"/>
              </w:rPr>
            </w:pPr>
            <w:r>
              <w:rPr>
                <w:rFonts w:ascii="Times New Roman" w:hAnsi="Times New Roman"/>
                <w:sz w:val="24"/>
              </w:rPr>
              <w:t>3</w:t>
            </w:r>
          </w:p>
        </w:tc>
        <w:tc>
          <w:tcPr>
            <w:tcW w:type="dxa" w:w="4104"/>
            <w:vMerge w:val="restart"/>
            <w:vAlign w:val="center"/>
          </w:tcPr>
          <w:p w14:paraId="38010000">
            <w:pPr>
              <w:widowControl w:val="0"/>
              <w:ind/>
              <w:jc w:val="center"/>
              <w:rPr>
                <w:rFonts w:ascii="Times New Roman" w:hAnsi="Times New Roman"/>
                <w:sz w:val="24"/>
              </w:rPr>
            </w:pPr>
            <w:r>
              <w:rPr>
                <w:rFonts w:ascii="Times New Roman" w:hAnsi="Times New Roman"/>
                <w:sz w:val="24"/>
              </w:rPr>
              <w:t>Производство импорт заменяющей и экспортно-ориентированной продукции</w:t>
            </w:r>
          </w:p>
        </w:tc>
        <w:tc>
          <w:tcPr>
            <w:tcW w:type="dxa" w:w="4253"/>
            <w:vAlign w:val="center"/>
          </w:tcPr>
          <w:p w14:paraId="39010000">
            <w:pPr>
              <w:widowControl w:val="0"/>
              <w:ind/>
              <w:jc w:val="center"/>
              <w:rPr>
                <w:rFonts w:ascii="Times New Roman" w:hAnsi="Times New Roman"/>
                <w:sz w:val="24"/>
              </w:rPr>
            </w:pPr>
            <w:r>
              <w:rPr>
                <w:rFonts w:ascii="Times New Roman" w:hAnsi="Times New Roman"/>
                <w:sz w:val="24"/>
              </w:rPr>
              <w:t>Создание производства продукции, выполнение работ, оказание услуг, (кроме переработки сельскохозяйственной продукции) – 1 балл.</w:t>
            </w:r>
          </w:p>
        </w:tc>
        <w:tc>
          <w:tcPr>
            <w:tcW w:type="dxa" w:w="4819"/>
            <w:vAlign w:val="center"/>
          </w:tcPr>
          <w:p w14:paraId="3A010000">
            <w:pPr>
              <w:widowControl w:val="0"/>
              <w:ind/>
              <w:jc w:val="center"/>
              <w:rPr>
                <w:rFonts w:ascii="Times New Roman" w:hAnsi="Times New Roman"/>
                <w:sz w:val="24"/>
              </w:rPr>
            </w:pPr>
            <w:r>
              <w:rPr>
                <w:rFonts w:ascii="Times New Roman" w:hAnsi="Times New Roman"/>
                <w:sz w:val="24"/>
              </w:rPr>
              <w:t>Создание производства по переработке сельскохозяйственной продукции - 2 балла.</w:t>
            </w:r>
          </w:p>
        </w:tc>
        <w:tc>
          <w:tcPr>
            <w:tcW w:type="dxa" w:w="1352"/>
            <w:vAlign w:val="center"/>
          </w:tcPr>
          <w:p w14:paraId="3B010000">
            <w:pPr>
              <w:widowControl w:val="0"/>
              <w:ind/>
              <w:jc w:val="center"/>
              <w:rPr>
                <w:rFonts w:ascii="Times New Roman" w:hAnsi="Times New Roman"/>
                <w:sz w:val="24"/>
              </w:rPr>
            </w:pPr>
          </w:p>
        </w:tc>
      </w:tr>
      <w:tr>
        <w:tc>
          <w:tcPr>
            <w:tcW w:type="dxa" w:w="540"/>
            <w:gridSpan w:val="1"/>
            <w:vMerge w:val="continue"/>
            <w:vAlign w:val="center"/>
          </w:tcPr>
          <w:p/>
        </w:tc>
        <w:tc>
          <w:tcPr>
            <w:tcW w:type="dxa" w:w="4104"/>
            <w:gridSpan w:val="1"/>
            <w:vMerge w:val="continue"/>
            <w:vAlign w:val="center"/>
          </w:tcPr>
          <w:p/>
        </w:tc>
        <w:tc>
          <w:tcPr>
            <w:tcW w:type="dxa" w:w="4253"/>
            <w:vAlign w:val="center"/>
          </w:tcPr>
          <w:p w14:paraId="3C010000">
            <w:pPr>
              <w:widowControl w:val="0"/>
              <w:ind/>
              <w:jc w:val="center"/>
              <w:rPr>
                <w:rFonts w:ascii="Times New Roman" w:hAnsi="Times New Roman"/>
                <w:sz w:val="24"/>
              </w:rPr>
            </w:pPr>
          </w:p>
        </w:tc>
        <w:tc>
          <w:tcPr>
            <w:tcW w:type="dxa" w:w="4819"/>
            <w:vAlign w:val="center"/>
          </w:tcPr>
          <w:p w14:paraId="3D010000">
            <w:pPr>
              <w:widowControl w:val="0"/>
              <w:ind/>
              <w:jc w:val="center"/>
              <w:rPr>
                <w:rFonts w:ascii="Times New Roman" w:hAnsi="Times New Roman"/>
                <w:sz w:val="24"/>
              </w:rPr>
            </w:pPr>
          </w:p>
        </w:tc>
        <w:tc>
          <w:tcPr>
            <w:tcW w:type="dxa" w:w="1352"/>
            <w:vAlign w:val="center"/>
          </w:tcPr>
          <w:p w14:paraId="3E010000">
            <w:pPr>
              <w:widowControl w:val="0"/>
              <w:ind/>
              <w:jc w:val="center"/>
              <w:rPr>
                <w:rFonts w:ascii="Times New Roman" w:hAnsi="Times New Roman"/>
                <w:sz w:val="24"/>
              </w:rPr>
            </w:pPr>
          </w:p>
        </w:tc>
      </w:tr>
      <w:tr>
        <w:tc>
          <w:tcPr>
            <w:tcW w:type="dxa" w:w="540"/>
            <w:vMerge w:val="restart"/>
            <w:vAlign w:val="center"/>
          </w:tcPr>
          <w:p w14:paraId="3F010000">
            <w:pPr>
              <w:widowControl w:val="0"/>
              <w:ind/>
              <w:jc w:val="center"/>
              <w:rPr>
                <w:rFonts w:ascii="Times New Roman" w:hAnsi="Times New Roman"/>
                <w:sz w:val="24"/>
              </w:rPr>
            </w:pPr>
            <w:r>
              <w:rPr>
                <w:rFonts w:ascii="Times New Roman" w:hAnsi="Times New Roman"/>
                <w:sz w:val="24"/>
              </w:rPr>
              <w:t>4</w:t>
            </w:r>
          </w:p>
        </w:tc>
        <w:tc>
          <w:tcPr>
            <w:tcW w:type="dxa" w:w="4104"/>
            <w:vMerge w:val="restart"/>
            <w:vAlign w:val="center"/>
          </w:tcPr>
          <w:p w14:paraId="40010000">
            <w:pPr>
              <w:widowControl w:val="0"/>
              <w:ind/>
              <w:jc w:val="center"/>
              <w:rPr>
                <w:rFonts w:ascii="Times New Roman" w:hAnsi="Times New Roman"/>
                <w:sz w:val="24"/>
              </w:rPr>
            </w:pPr>
            <w:r>
              <w:rPr>
                <w:rFonts w:ascii="Times New Roman" w:hAnsi="Times New Roman"/>
                <w:sz w:val="24"/>
              </w:rPr>
              <w:t>Развитие инновационной деятельности</w:t>
            </w:r>
          </w:p>
        </w:tc>
        <w:tc>
          <w:tcPr>
            <w:tcW w:type="dxa" w:w="4253"/>
            <w:vAlign w:val="center"/>
          </w:tcPr>
          <w:p w14:paraId="41010000">
            <w:pPr>
              <w:widowControl w:val="0"/>
              <w:ind/>
              <w:jc w:val="center"/>
              <w:rPr>
                <w:rFonts w:ascii="Times New Roman" w:hAnsi="Times New Roman"/>
                <w:sz w:val="24"/>
              </w:rPr>
            </w:pPr>
            <w:r>
              <w:rPr>
                <w:rFonts w:ascii="Times New Roman" w:hAnsi="Times New Roman"/>
                <w:sz w:val="24"/>
              </w:rPr>
              <w:t xml:space="preserve">Есть аналоги производства продукции (выполнения работ, оказания услуг)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Прокопьевском</w:t>
            </w:r>
            <w:r>
              <w:rPr>
                <w:rFonts w:ascii="Times New Roman" w:hAnsi="Times New Roman"/>
                <w:sz w:val="24"/>
              </w:rPr>
              <w:t xml:space="preserve"> муниципальном округе - 0 баллов.</w:t>
            </w:r>
          </w:p>
        </w:tc>
        <w:tc>
          <w:tcPr>
            <w:tcW w:type="dxa" w:w="4819"/>
            <w:vAlign w:val="center"/>
          </w:tcPr>
          <w:p w14:paraId="42010000">
            <w:pPr>
              <w:widowControl w:val="0"/>
              <w:ind/>
              <w:jc w:val="center"/>
              <w:rPr>
                <w:rFonts w:ascii="Times New Roman" w:hAnsi="Times New Roman"/>
                <w:sz w:val="24"/>
              </w:rPr>
            </w:pPr>
            <w:r>
              <w:rPr>
                <w:rFonts w:ascii="Times New Roman" w:hAnsi="Times New Roman"/>
                <w:sz w:val="24"/>
              </w:rPr>
              <w:t xml:space="preserve">Нет аналогов производства продукции (выполнения работ, оказания услуг) </w:t>
            </w:r>
            <w:r>
              <w:rPr>
                <w:rFonts w:ascii="Times New Roman" w:hAnsi="Times New Roman"/>
                <w:sz w:val="24"/>
              </w:rPr>
              <w:t>в</w:t>
            </w:r>
            <w:r>
              <w:rPr>
                <w:rFonts w:ascii="Times New Roman" w:hAnsi="Times New Roman"/>
                <w:sz w:val="24"/>
              </w:rPr>
              <w:t xml:space="preserve"> </w:t>
            </w:r>
            <w:r>
              <w:rPr>
                <w:rFonts w:ascii="Times New Roman" w:hAnsi="Times New Roman"/>
                <w:sz w:val="24"/>
              </w:rPr>
              <w:t>Прокопьевском</w:t>
            </w:r>
            <w:r>
              <w:rPr>
                <w:rFonts w:ascii="Times New Roman" w:hAnsi="Times New Roman"/>
                <w:sz w:val="24"/>
              </w:rPr>
              <w:t xml:space="preserve"> муниципальном округе - 1 балл.</w:t>
            </w:r>
          </w:p>
        </w:tc>
        <w:tc>
          <w:tcPr>
            <w:tcW w:type="dxa" w:w="1352"/>
            <w:vAlign w:val="center"/>
          </w:tcPr>
          <w:p w14:paraId="43010000">
            <w:pPr>
              <w:widowControl w:val="0"/>
              <w:ind/>
              <w:jc w:val="center"/>
              <w:rPr>
                <w:rFonts w:ascii="Times New Roman" w:hAnsi="Times New Roman"/>
                <w:sz w:val="24"/>
              </w:rPr>
            </w:pPr>
          </w:p>
        </w:tc>
      </w:tr>
      <w:tr>
        <w:tc>
          <w:tcPr>
            <w:tcW w:type="dxa" w:w="540"/>
            <w:gridSpan w:val="1"/>
            <w:vMerge w:val="continue"/>
            <w:vAlign w:val="center"/>
          </w:tcPr>
          <w:p/>
        </w:tc>
        <w:tc>
          <w:tcPr>
            <w:tcW w:type="dxa" w:w="4104"/>
            <w:gridSpan w:val="1"/>
            <w:vMerge w:val="continue"/>
            <w:vAlign w:val="center"/>
          </w:tcPr>
          <w:p/>
        </w:tc>
        <w:tc>
          <w:tcPr>
            <w:tcW w:type="dxa" w:w="4253"/>
            <w:vAlign w:val="center"/>
          </w:tcPr>
          <w:p w14:paraId="44010000">
            <w:pPr>
              <w:widowControl w:val="0"/>
              <w:ind/>
              <w:jc w:val="center"/>
              <w:rPr>
                <w:rFonts w:ascii="Times New Roman" w:hAnsi="Times New Roman"/>
                <w:sz w:val="24"/>
              </w:rPr>
            </w:pPr>
          </w:p>
        </w:tc>
        <w:tc>
          <w:tcPr>
            <w:tcW w:type="dxa" w:w="4819"/>
            <w:vAlign w:val="center"/>
          </w:tcPr>
          <w:p w14:paraId="45010000">
            <w:pPr>
              <w:widowControl w:val="0"/>
              <w:ind/>
              <w:jc w:val="center"/>
              <w:rPr>
                <w:rFonts w:ascii="Times New Roman" w:hAnsi="Times New Roman"/>
                <w:sz w:val="24"/>
              </w:rPr>
            </w:pPr>
          </w:p>
        </w:tc>
        <w:tc>
          <w:tcPr>
            <w:tcW w:type="dxa" w:w="1352"/>
            <w:vAlign w:val="center"/>
          </w:tcPr>
          <w:p w14:paraId="46010000">
            <w:pPr>
              <w:widowControl w:val="0"/>
              <w:ind/>
              <w:jc w:val="center"/>
              <w:rPr>
                <w:rFonts w:ascii="Times New Roman" w:hAnsi="Times New Roman"/>
                <w:sz w:val="24"/>
              </w:rPr>
            </w:pPr>
          </w:p>
        </w:tc>
      </w:tr>
      <w:tr>
        <w:tc>
          <w:tcPr>
            <w:tcW w:type="dxa" w:w="540"/>
            <w:vAlign w:val="center"/>
          </w:tcPr>
          <w:p w14:paraId="47010000">
            <w:pPr>
              <w:widowControl w:val="0"/>
              <w:ind/>
              <w:jc w:val="center"/>
              <w:rPr>
                <w:rFonts w:ascii="Times New Roman" w:hAnsi="Times New Roman"/>
                <w:sz w:val="24"/>
              </w:rPr>
            </w:pPr>
          </w:p>
        </w:tc>
        <w:tc>
          <w:tcPr>
            <w:tcW w:type="dxa" w:w="4104"/>
            <w:vAlign w:val="center"/>
          </w:tcPr>
          <w:p w14:paraId="48010000">
            <w:pPr>
              <w:widowControl w:val="0"/>
              <w:ind/>
              <w:jc w:val="center"/>
              <w:rPr>
                <w:rFonts w:ascii="Times New Roman" w:hAnsi="Times New Roman"/>
                <w:b w:val="1"/>
                <w:sz w:val="24"/>
              </w:rPr>
            </w:pPr>
            <w:r>
              <w:rPr>
                <w:rFonts w:ascii="Times New Roman" w:hAnsi="Times New Roman"/>
                <w:b w:val="1"/>
                <w:sz w:val="24"/>
              </w:rPr>
              <w:t>Итоговый балл</w:t>
            </w:r>
          </w:p>
        </w:tc>
        <w:tc>
          <w:tcPr>
            <w:tcW w:type="dxa" w:w="9072"/>
            <w:gridSpan w:val="2"/>
            <w:vAlign w:val="center"/>
          </w:tcPr>
          <w:p w14:paraId="49010000">
            <w:pPr>
              <w:widowControl w:val="0"/>
              <w:ind/>
              <w:jc w:val="center"/>
              <w:rPr>
                <w:rFonts w:ascii="Times New Roman" w:hAnsi="Times New Roman"/>
                <w:sz w:val="24"/>
              </w:rPr>
            </w:pPr>
          </w:p>
        </w:tc>
        <w:tc>
          <w:tcPr>
            <w:tcW w:type="dxa" w:w="1352"/>
            <w:vAlign w:val="center"/>
          </w:tcPr>
          <w:p w14:paraId="4A010000">
            <w:pPr>
              <w:widowControl w:val="0"/>
              <w:ind/>
              <w:jc w:val="center"/>
              <w:rPr>
                <w:rFonts w:ascii="Times New Roman" w:hAnsi="Times New Roman"/>
                <w:sz w:val="24"/>
              </w:rPr>
            </w:pPr>
          </w:p>
        </w:tc>
      </w:tr>
      <w:tr>
        <w:tc>
          <w:tcPr>
            <w:tcW w:type="dxa" w:w="540"/>
            <w:vAlign w:val="center"/>
          </w:tcPr>
          <w:p w14:paraId="4B010000">
            <w:pPr>
              <w:widowControl w:val="0"/>
              <w:ind/>
              <w:jc w:val="center"/>
              <w:rPr>
                <w:rFonts w:ascii="Times New Roman" w:hAnsi="Times New Roman"/>
                <w:sz w:val="24"/>
              </w:rPr>
            </w:pPr>
          </w:p>
        </w:tc>
        <w:tc>
          <w:tcPr>
            <w:tcW w:type="dxa" w:w="4104"/>
            <w:vAlign w:val="center"/>
          </w:tcPr>
          <w:p w14:paraId="4C010000">
            <w:pPr>
              <w:widowControl w:val="0"/>
              <w:ind/>
              <w:jc w:val="center"/>
              <w:rPr>
                <w:rFonts w:ascii="Times New Roman" w:hAnsi="Times New Roman"/>
                <w:sz w:val="24"/>
              </w:rPr>
            </w:pPr>
          </w:p>
          <w:p w14:paraId="4D010000">
            <w:pPr>
              <w:widowControl w:val="0"/>
              <w:ind/>
              <w:jc w:val="center"/>
              <w:rPr>
                <w:rFonts w:ascii="Times New Roman" w:hAnsi="Times New Roman"/>
                <w:sz w:val="24"/>
              </w:rPr>
            </w:pPr>
            <w:r>
              <w:rPr>
                <w:rFonts w:ascii="Times New Roman" w:hAnsi="Times New Roman"/>
                <w:sz w:val="24"/>
              </w:rPr>
              <w:t>___________________</w:t>
            </w:r>
          </w:p>
          <w:p w14:paraId="4E010000">
            <w:pPr>
              <w:widowControl w:val="0"/>
              <w:ind/>
              <w:jc w:val="center"/>
              <w:rPr>
                <w:rFonts w:ascii="Times New Roman" w:hAnsi="Times New Roman"/>
                <w:sz w:val="20"/>
              </w:rPr>
            </w:pPr>
            <w:r>
              <w:rPr>
                <w:rFonts w:ascii="Times New Roman" w:hAnsi="Times New Roman"/>
                <w:sz w:val="20"/>
              </w:rPr>
              <w:t>(подпись члена комиссии)</w:t>
            </w:r>
          </w:p>
        </w:tc>
        <w:tc>
          <w:tcPr>
            <w:tcW w:type="dxa" w:w="10424"/>
            <w:gridSpan w:val="3"/>
            <w:vAlign w:val="center"/>
          </w:tcPr>
          <w:p w14:paraId="4F010000">
            <w:pPr>
              <w:widowControl w:val="0"/>
              <w:ind/>
              <w:jc w:val="center"/>
              <w:rPr>
                <w:rFonts w:ascii="Times New Roman" w:hAnsi="Times New Roman"/>
                <w:sz w:val="24"/>
              </w:rPr>
            </w:pPr>
          </w:p>
          <w:p w14:paraId="50010000">
            <w:pPr>
              <w:widowControl w:val="0"/>
              <w:ind/>
              <w:jc w:val="center"/>
              <w:rPr>
                <w:rFonts w:ascii="Times New Roman" w:hAnsi="Times New Roman"/>
                <w:sz w:val="24"/>
              </w:rPr>
            </w:pPr>
            <w:r>
              <w:rPr>
                <w:rFonts w:ascii="Times New Roman" w:hAnsi="Times New Roman"/>
                <w:sz w:val="24"/>
              </w:rPr>
              <w:t>______________________</w:t>
            </w:r>
          </w:p>
          <w:p w14:paraId="51010000">
            <w:pPr>
              <w:widowControl w:val="0"/>
              <w:ind/>
              <w:jc w:val="center"/>
              <w:rPr>
                <w:rFonts w:ascii="Times New Roman" w:hAnsi="Times New Roman"/>
                <w:sz w:val="20"/>
              </w:rPr>
            </w:pPr>
            <w:r>
              <w:rPr>
                <w:rFonts w:ascii="Times New Roman" w:hAnsi="Times New Roman"/>
                <w:sz w:val="20"/>
              </w:rPr>
              <w:t>(расшифровка подписи)</w:t>
            </w:r>
          </w:p>
          <w:p w14:paraId="52010000">
            <w:pPr>
              <w:widowControl w:val="0"/>
              <w:ind/>
              <w:jc w:val="center"/>
              <w:rPr>
                <w:rFonts w:ascii="Times New Roman" w:hAnsi="Times New Roman"/>
                <w:sz w:val="20"/>
              </w:rPr>
            </w:pPr>
          </w:p>
          <w:p w14:paraId="53010000">
            <w:pPr>
              <w:widowControl w:val="0"/>
              <w:ind/>
              <w:jc w:val="center"/>
              <w:rPr>
                <w:rFonts w:ascii="Times New Roman" w:hAnsi="Times New Roman"/>
                <w:sz w:val="24"/>
              </w:rPr>
            </w:pPr>
            <w:r>
              <w:rPr>
                <w:rFonts w:ascii="Times New Roman" w:hAnsi="Times New Roman"/>
                <w:sz w:val="24"/>
              </w:rPr>
              <w:t>Дата ___________________ 202___ г.</w:t>
            </w:r>
          </w:p>
        </w:tc>
      </w:tr>
    </w:tbl>
    <w:p w14:paraId="54010000">
      <w:pPr>
        <w:widowControl w:val="0"/>
        <w:spacing w:after="0" w:line="240" w:lineRule="auto"/>
        <w:ind/>
        <w:jc w:val="right"/>
        <w:rPr>
          <w:rFonts w:ascii="Times New Roman" w:hAnsi="Times New Roman"/>
          <w:sz w:val="28"/>
        </w:rPr>
      </w:pPr>
    </w:p>
    <w:p w14:paraId="55010000">
      <w:pPr>
        <w:widowControl w:val="0"/>
        <w:spacing w:after="0" w:line="240" w:lineRule="auto"/>
        <w:ind/>
        <w:jc w:val="right"/>
        <w:rPr>
          <w:rFonts w:ascii="Times New Roman" w:hAnsi="Times New Roman"/>
          <w:sz w:val="28"/>
        </w:rPr>
      </w:pPr>
    </w:p>
    <w:p w14:paraId="56010000">
      <w:pPr>
        <w:spacing w:after="0" w:line="240" w:lineRule="auto"/>
        <w:ind/>
        <w:jc w:val="right"/>
        <w:rPr>
          <w:rFonts w:ascii="Times New Roman" w:hAnsi="Times New Roman"/>
          <w:sz w:val="28"/>
        </w:rPr>
      </w:pPr>
    </w:p>
    <w:p w14:paraId="57010000">
      <w:pPr>
        <w:spacing w:after="0" w:line="240" w:lineRule="auto"/>
        <w:ind/>
        <w:jc w:val="right"/>
        <w:rPr>
          <w:rFonts w:ascii="Times New Roman" w:hAnsi="Times New Roman"/>
          <w:sz w:val="28"/>
        </w:rPr>
      </w:pPr>
    </w:p>
    <w:p w14:paraId="58010000">
      <w:pPr>
        <w:sectPr>
          <w:headerReference r:id="rId4" w:type="default"/>
          <w:pgSz w:h="11905" w:orient="landscape" w:w="16838"/>
          <w:pgMar w:bottom="850" w:footer="0" w:gutter="0" w:header="0" w:left="1134" w:right="1134" w:top="1701"/>
        </w:sectPr>
      </w:pPr>
    </w:p>
    <w:p w14:paraId="59010000">
      <w:pPr>
        <w:spacing w:after="0" w:line="240" w:lineRule="auto"/>
        <w:ind w:firstLine="709" w:left="0"/>
        <w:jc w:val="right"/>
        <w:rPr>
          <w:rFonts w:ascii="Times New Roman" w:hAnsi="Times New Roman"/>
          <w:sz w:val="28"/>
        </w:rPr>
      </w:pPr>
    </w:p>
    <w:p w14:paraId="5A010000">
      <w:pPr>
        <w:widowControl w:val="0"/>
        <w:spacing w:after="0" w:line="240" w:lineRule="auto"/>
        <w:ind/>
        <w:jc w:val="right"/>
        <w:rPr>
          <w:rFonts w:ascii="Times New Roman" w:hAnsi="Times New Roman"/>
          <w:sz w:val="28"/>
        </w:rPr>
      </w:pPr>
      <w:r>
        <w:rPr>
          <w:rFonts w:ascii="Times New Roman" w:hAnsi="Times New Roman"/>
          <w:sz w:val="28"/>
        </w:rPr>
        <w:t xml:space="preserve">Приложение № </w:t>
      </w:r>
      <w:r>
        <w:rPr>
          <w:rFonts w:ascii="Times New Roman" w:hAnsi="Times New Roman"/>
          <w:sz w:val="28"/>
        </w:rPr>
        <w:t>2</w:t>
      </w:r>
    </w:p>
    <w:p w14:paraId="5B010000">
      <w:pPr>
        <w:spacing w:after="0" w:line="240" w:lineRule="auto"/>
        <w:ind/>
        <w:jc w:val="right"/>
        <w:rPr>
          <w:rFonts w:ascii="Times New Roman" w:hAnsi="Times New Roman"/>
          <w:sz w:val="28"/>
        </w:rPr>
      </w:pPr>
      <w:r>
        <w:rPr>
          <w:rFonts w:ascii="Times New Roman" w:hAnsi="Times New Roman"/>
          <w:sz w:val="28"/>
        </w:rPr>
        <w:t xml:space="preserve">к Порядку «Субсидирование части затрат, </w:t>
      </w:r>
    </w:p>
    <w:p w14:paraId="5C010000">
      <w:pPr>
        <w:keepNext w:val="1"/>
        <w:spacing w:after="0" w:line="240" w:lineRule="auto"/>
        <w:ind w:firstLine="0" w:left="-993"/>
        <w:jc w:val="right"/>
        <w:outlineLvl w:val="3"/>
        <w:rPr>
          <w:rFonts w:ascii="Times New Roman" w:hAnsi="Times New Roman"/>
          <w:sz w:val="28"/>
        </w:rPr>
      </w:pPr>
      <w:r>
        <w:rPr>
          <w:rFonts w:ascii="Times New Roman" w:hAnsi="Times New Roman"/>
          <w:sz w:val="28"/>
        </w:rPr>
        <w:t>связанных</w:t>
      </w:r>
      <w:r>
        <w:rPr>
          <w:rFonts w:ascii="Times New Roman" w:hAnsi="Times New Roman"/>
          <w:sz w:val="28"/>
        </w:rPr>
        <w:t xml:space="preserve"> с технологическим присоединением</w:t>
      </w:r>
    </w:p>
    <w:p w14:paraId="5D010000">
      <w:pPr>
        <w:spacing w:after="0" w:line="240" w:lineRule="auto"/>
        <w:ind/>
        <w:jc w:val="right"/>
        <w:rPr>
          <w:rFonts w:ascii="Times New Roman" w:hAnsi="Times New Roman"/>
          <w:sz w:val="28"/>
        </w:rPr>
      </w:pP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p>
    <w:p w14:paraId="5E010000">
      <w:pPr>
        <w:keepNext w:val="1"/>
        <w:spacing w:after="0" w:line="240" w:lineRule="auto"/>
        <w:ind w:firstLine="0" w:left="-993"/>
        <w:jc w:val="right"/>
        <w:outlineLvl w:val="3"/>
        <w:rPr>
          <w:rFonts w:ascii="Times New Roman" w:hAnsi="Times New Roman"/>
          <w:b w:val="1"/>
          <w:sz w:val="32"/>
        </w:rPr>
      </w:pPr>
    </w:p>
    <w:p w14:paraId="5F010000">
      <w:pPr>
        <w:widowControl w:val="0"/>
        <w:spacing w:after="0" w:line="240" w:lineRule="auto"/>
        <w:ind/>
        <w:jc w:val="center"/>
        <w:rPr>
          <w:rFonts w:ascii="Times New Roman" w:hAnsi="Times New Roman"/>
          <w:b w:val="1"/>
          <w:sz w:val="28"/>
        </w:rPr>
      </w:pPr>
      <w:r>
        <w:rPr>
          <w:rFonts w:ascii="Times New Roman" w:hAnsi="Times New Roman"/>
          <w:b w:val="1"/>
          <w:sz w:val="28"/>
        </w:rPr>
        <w:t>Расчет размера субсидии</w:t>
      </w:r>
    </w:p>
    <w:p w14:paraId="60010000">
      <w:pPr>
        <w:widowControl w:val="0"/>
        <w:spacing w:after="0" w:line="240" w:lineRule="auto"/>
        <w:ind/>
        <w:jc w:val="both"/>
        <w:rPr>
          <w:rFonts w:ascii="Times New Roman" w:hAnsi="Times New Roman"/>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2926"/>
        <w:gridCol w:w="3990"/>
        <w:gridCol w:w="2720"/>
      </w:tblGrid>
      <w:tr>
        <w:tc>
          <w:tcPr>
            <w:tcW w:type="dxa" w:w="2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1010000">
            <w:pPr>
              <w:widowControl w:val="0"/>
              <w:spacing w:after="0" w:line="240" w:lineRule="auto"/>
              <w:ind/>
              <w:jc w:val="center"/>
              <w:rPr>
                <w:rFonts w:ascii="Times New Roman" w:hAnsi="Times New Roman"/>
                <w:sz w:val="24"/>
              </w:rPr>
            </w:pPr>
            <w:r>
              <w:rPr>
                <w:rFonts w:ascii="Times New Roman" w:hAnsi="Times New Roman"/>
                <w:sz w:val="24"/>
              </w:rPr>
              <w:t>Общая сумма расходов, подлежащих субсидированию</w:t>
            </w:r>
          </w:p>
        </w:tc>
        <w:tc>
          <w:tcPr>
            <w:tcW w:type="dxa" w:w="39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2010000">
            <w:pPr>
              <w:widowControl w:val="0"/>
              <w:spacing w:after="0" w:line="240" w:lineRule="auto"/>
              <w:ind/>
              <w:jc w:val="center"/>
              <w:rPr>
                <w:rFonts w:ascii="Times New Roman" w:hAnsi="Times New Roman"/>
                <w:sz w:val="24"/>
              </w:rPr>
            </w:pPr>
            <w:r>
              <w:rPr>
                <w:rFonts w:ascii="Times New Roman" w:hAnsi="Times New Roman"/>
                <w:sz w:val="24"/>
              </w:rPr>
              <w:t>Размер предоставленной субъекту малого и среднего предпринимательства субсидии</w:t>
            </w:r>
          </w:p>
        </w:tc>
        <w:tc>
          <w:tcPr>
            <w:tcW w:type="dxa" w:w="27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3010000">
            <w:pPr>
              <w:widowControl w:val="0"/>
              <w:spacing w:after="0" w:line="240" w:lineRule="auto"/>
              <w:ind/>
              <w:jc w:val="center"/>
              <w:rPr>
                <w:rFonts w:ascii="Times New Roman" w:hAnsi="Times New Roman"/>
                <w:sz w:val="24"/>
              </w:rPr>
            </w:pPr>
            <w:r>
              <w:rPr>
                <w:rFonts w:ascii="Times New Roman" w:hAnsi="Times New Roman"/>
                <w:sz w:val="24"/>
              </w:rPr>
              <w:t xml:space="preserve">Сумма субсидии </w:t>
            </w:r>
          </w:p>
          <w:p w14:paraId="64010000">
            <w:pPr>
              <w:widowControl w:val="0"/>
              <w:spacing w:after="0" w:line="240" w:lineRule="auto"/>
              <w:ind/>
              <w:jc w:val="center"/>
              <w:rPr>
                <w:rFonts w:ascii="Times New Roman" w:hAnsi="Times New Roman"/>
                <w:sz w:val="24"/>
              </w:rPr>
            </w:pPr>
            <w:r>
              <w:rPr>
                <w:rFonts w:ascii="Times New Roman" w:hAnsi="Times New Roman"/>
                <w:sz w:val="24"/>
              </w:rPr>
              <w:t>(</w:t>
            </w:r>
            <w:r>
              <w:rPr>
                <w:rStyle w:val="Style_7_ch"/>
                <w:rFonts w:ascii="Times New Roman" w:hAnsi="Times New Roman"/>
                <w:color w:val="000000"/>
                <w:sz w:val="24"/>
                <w:u w:val="none"/>
              </w:rPr>
              <w:fldChar w:fldCharType="begin"/>
            </w:r>
            <w:r>
              <w:rPr>
                <w:rStyle w:val="Style_7_ch"/>
                <w:rFonts w:ascii="Times New Roman" w:hAnsi="Times New Roman"/>
                <w:color w:val="000000"/>
                <w:sz w:val="24"/>
                <w:u w:val="none"/>
              </w:rPr>
              <w:instrText>HYPERLINK "file:///D:/постановления/малый%20бизнес/регламенты/РЕГЛАМЕНТЫ/1451-п%20электрич%20сети.docx#P1149"</w:instrText>
            </w:r>
            <w:r>
              <w:rPr>
                <w:rStyle w:val="Style_7_ch"/>
                <w:rFonts w:ascii="Times New Roman" w:hAnsi="Times New Roman"/>
                <w:color w:val="000000"/>
                <w:sz w:val="24"/>
                <w:u w:val="none"/>
              </w:rPr>
              <w:fldChar w:fldCharType="separate"/>
            </w:r>
            <w:r>
              <w:rPr>
                <w:rStyle w:val="Style_7_ch"/>
                <w:rFonts w:ascii="Times New Roman" w:hAnsi="Times New Roman"/>
                <w:color w:val="000000"/>
                <w:sz w:val="24"/>
                <w:u w:val="none"/>
              </w:rPr>
              <w:t>графа 1</w:t>
            </w:r>
            <w:r>
              <w:rPr>
                <w:rStyle w:val="Style_7_ch"/>
                <w:rFonts w:ascii="Times New Roman" w:hAnsi="Times New Roman"/>
                <w:color w:val="000000"/>
                <w:sz w:val="24"/>
                <w:u w:val="none"/>
              </w:rPr>
              <w:fldChar w:fldCharType="end"/>
            </w:r>
            <w:r>
              <w:rPr>
                <w:rFonts w:ascii="Times New Roman" w:hAnsi="Times New Roman"/>
                <w:sz w:val="24"/>
              </w:rPr>
              <w:t xml:space="preserve"> x </w:t>
            </w:r>
            <w:r>
              <w:rPr>
                <w:rStyle w:val="Style_7_ch"/>
                <w:rFonts w:ascii="Times New Roman" w:hAnsi="Times New Roman"/>
                <w:color w:val="000000"/>
                <w:sz w:val="24"/>
                <w:u w:val="none"/>
              </w:rPr>
              <w:fldChar w:fldCharType="begin"/>
            </w:r>
            <w:r>
              <w:rPr>
                <w:rStyle w:val="Style_7_ch"/>
                <w:rFonts w:ascii="Times New Roman" w:hAnsi="Times New Roman"/>
                <w:color w:val="000000"/>
                <w:sz w:val="24"/>
                <w:u w:val="none"/>
              </w:rPr>
              <w:instrText>HYPERLINK "file:///D:/постановления/малый%20бизнес/регламенты/РЕГЛАМЕНТЫ/1451-п%20электрич%20сети.docx#P1150"</w:instrText>
            </w:r>
            <w:r>
              <w:rPr>
                <w:rStyle w:val="Style_7_ch"/>
                <w:rFonts w:ascii="Times New Roman" w:hAnsi="Times New Roman"/>
                <w:color w:val="000000"/>
                <w:sz w:val="24"/>
                <w:u w:val="none"/>
              </w:rPr>
              <w:fldChar w:fldCharType="separate"/>
            </w:r>
            <w:r>
              <w:rPr>
                <w:rStyle w:val="Style_7_ch"/>
                <w:rFonts w:ascii="Times New Roman" w:hAnsi="Times New Roman"/>
                <w:color w:val="000000"/>
                <w:sz w:val="24"/>
                <w:u w:val="none"/>
              </w:rPr>
              <w:t>графа 2</w:t>
            </w:r>
            <w:r>
              <w:rPr>
                <w:rStyle w:val="Style_7_ch"/>
                <w:rFonts w:ascii="Times New Roman" w:hAnsi="Times New Roman"/>
                <w:color w:val="000000"/>
                <w:sz w:val="24"/>
                <w:u w:val="none"/>
              </w:rPr>
              <w:fldChar w:fldCharType="end"/>
            </w:r>
            <w:r>
              <w:rPr>
                <w:rFonts w:ascii="Times New Roman" w:hAnsi="Times New Roman"/>
                <w:sz w:val="24"/>
              </w:rPr>
              <w:t>)</w:t>
            </w:r>
          </w:p>
        </w:tc>
      </w:tr>
      <w:tr>
        <w:tc>
          <w:tcPr>
            <w:tcW w:type="dxa" w:w="2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5010000">
            <w:pPr>
              <w:widowControl w:val="0"/>
              <w:spacing w:after="0" w:line="240" w:lineRule="auto"/>
              <w:ind/>
              <w:jc w:val="center"/>
              <w:rPr>
                <w:rFonts w:ascii="Times New Roman" w:hAnsi="Times New Roman"/>
                <w:sz w:val="24"/>
              </w:rPr>
            </w:pPr>
            <w:bookmarkStart w:id="1" w:name="P1149"/>
            <w:bookmarkEnd w:id="1"/>
            <w:r>
              <w:rPr>
                <w:rFonts w:ascii="Times New Roman" w:hAnsi="Times New Roman"/>
                <w:sz w:val="24"/>
              </w:rPr>
              <w:t>1</w:t>
            </w:r>
          </w:p>
        </w:tc>
        <w:tc>
          <w:tcPr>
            <w:tcW w:type="dxa" w:w="39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6010000">
            <w:pPr>
              <w:widowControl w:val="0"/>
              <w:spacing w:after="0" w:line="240" w:lineRule="auto"/>
              <w:ind/>
              <w:jc w:val="center"/>
              <w:rPr>
                <w:rFonts w:ascii="Times New Roman" w:hAnsi="Times New Roman"/>
                <w:sz w:val="24"/>
              </w:rPr>
            </w:pPr>
            <w:bookmarkStart w:id="2" w:name="P1150"/>
            <w:bookmarkEnd w:id="2"/>
            <w:r>
              <w:rPr>
                <w:rFonts w:ascii="Times New Roman" w:hAnsi="Times New Roman"/>
                <w:sz w:val="24"/>
              </w:rPr>
              <w:t>2</w:t>
            </w:r>
          </w:p>
        </w:tc>
        <w:tc>
          <w:tcPr>
            <w:tcW w:type="dxa" w:w="27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7010000">
            <w:pPr>
              <w:widowControl w:val="0"/>
              <w:spacing w:after="0" w:line="240" w:lineRule="auto"/>
              <w:ind/>
              <w:jc w:val="center"/>
              <w:rPr>
                <w:rFonts w:ascii="Times New Roman" w:hAnsi="Times New Roman"/>
                <w:sz w:val="24"/>
              </w:rPr>
            </w:pPr>
            <w:bookmarkStart w:id="3" w:name="P1151"/>
            <w:bookmarkEnd w:id="3"/>
            <w:r>
              <w:rPr>
                <w:rFonts w:ascii="Times New Roman" w:hAnsi="Times New Roman"/>
                <w:sz w:val="24"/>
              </w:rPr>
              <w:t>3</w:t>
            </w:r>
          </w:p>
        </w:tc>
      </w:tr>
      <w:tr>
        <w:tc>
          <w:tcPr>
            <w:tcW w:type="dxa" w:w="2926"/>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8010000">
            <w:pPr>
              <w:widowControl w:val="0"/>
              <w:spacing w:after="0" w:line="240" w:lineRule="auto"/>
              <w:ind/>
              <w:rPr>
                <w:rFonts w:ascii="Times New Roman" w:hAnsi="Times New Roman"/>
                <w:sz w:val="24"/>
              </w:rPr>
            </w:pPr>
          </w:p>
        </w:tc>
        <w:tc>
          <w:tcPr>
            <w:tcW w:type="dxa" w:w="399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9010000">
            <w:pPr>
              <w:widowControl w:val="0"/>
              <w:spacing w:after="0" w:line="240" w:lineRule="auto"/>
              <w:ind/>
              <w:jc w:val="center"/>
              <w:rPr>
                <w:rFonts w:ascii="Times New Roman" w:hAnsi="Times New Roman"/>
                <w:sz w:val="24"/>
              </w:rPr>
            </w:pPr>
            <w:r>
              <w:rPr>
                <w:rFonts w:ascii="Times New Roman" w:hAnsi="Times New Roman"/>
                <w:sz w:val="24"/>
              </w:rPr>
              <w:t>0,5</w:t>
            </w:r>
          </w:p>
        </w:tc>
        <w:tc>
          <w:tcPr>
            <w:tcW w:type="dxa" w:w="2720"/>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6A010000">
            <w:pPr>
              <w:widowControl w:val="0"/>
              <w:spacing w:after="0" w:line="240" w:lineRule="auto"/>
              <w:ind/>
              <w:rPr>
                <w:rFonts w:ascii="Times New Roman" w:hAnsi="Times New Roman"/>
                <w:sz w:val="24"/>
              </w:rPr>
            </w:pPr>
          </w:p>
        </w:tc>
      </w:tr>
    </w:tbl>
    <w:p w14:paraId="6B010000">
      <w:pPr>
        <w:widowControl w:val="0"/>
        <w:spacing w:after="0" w:line="240" w:lineRule="auto"/>
        <w:ind w:firstLine="540" w:left="0"/>
        <w:jc w:val="both"/>
        <w:rPr>
          <w:rFonts w:ascii="Times New Roman" w:hAnsi="Times New Roman"/>
          <w:sz w:val="28"/>
        </w:rPr>
      </w:pPr>
    </w:p>
    <w:p w14:paraId="6C010000">
      <w:pPr>
        <w:spacing w:after="0" w:line="240" w:lineRule="auto"/>
        <w:ind w:firstLine="709" w:left="0"/>
        <w:jc w:val="right"/>
        <w:rPr>
          <w:rFonts w:ascii="Times New Roman" w:hAnsi="Times New Roman"/>
          <w:sz w:val="28"/>
        </w:rPr>
      </w:pPr>
      <w:bookmarkStart w:id="4" w:name="_GoBack"/>
      <w:bookmarkEnd w:id="4"/>
    </w:p>
    <w:p w14:paraId="6D010000">
      <w:pPr>
        <w:spacing w:after="0" w:line="240" w:lineRule="auto"/>
        <w:ind w:firstLine="709" w:left="0"/>
        <w:jc w:val="right"/>
        <w:rPr>
          <w:rFonts w:ascii="Times New Roman" w:hAnsi="Times New Roman"/>
          <w:sz w:val="28"/>
        </w:rPr>
      </w:pPr>
    </w:p>
    <w:p w14:paraId="6E010000">
      <w:pPr>
        <w:spacing w:after="0" w:line="240" w:lineRule="auto"/>
        <w:ind w:firstLine="709" w:left="0"/>
        <w:jc w:val="right"/>
        <w:rPr>
          <w:rFonts w:ascii="Times New Roman" w:hAnsi="Times New Roman"/>
          <w:sz w:val="28"/>
        </w:rPr>
      </w:pPr>
    </w:p>
    <w:p w14:paraId="6F010000">
      <w:pPr>
        <w:spacing w:after="0" w:line="240" w:lineRule="auto"/>
        <w:ind/>
        <w:rPr>
          <w:rFonts w:ascii="Times New Roman" w:hAnsi="Times New Roman"/>
          <w:sz w:val="28"/>
        </w:rPr>
      </w:pPr>
    </w:p>
    <w:p w14:paraId="70010000">
      <w:pPr>
        <w:spacing w:after="0" w:line="240" w:lineRule="auto"/>
        <w:ind/>
        <w:rPr>
          <w:rFonts w:ascii="Times New Roman" w:hAnsi="Times New Roman"/>
          <w:sz w:val="28"/>
        </w:rPr>
      </w:pPr>
    </w:p>
    <w:p w14:paraId="71010000">
      <w:pPr>
        <w:spacing w:after="0" w:line="240" w:lineRule="auto"/>
        <w:ind/>
        <w:rPr>
          <w:rFonts w:ascii="Times New Roman" w:hAnsi="Times New Roman"/>
          <w:sz w:val="28"/>
        </w:rPr>
      </w:pPr>
    </w:p>
    <w:p w14:paraId="72010000">
      <w:pPr>
        <w:spacing w:after="0" w:line="240" w:lineRule="auto"/>
        <w:ind/>
        <w:rPr>
          <w:rFonts w:ascii="Times New Roman" w:hAnsi="Times New Roman"/>
          <w:sz w:val="28"/>
        </w:rPr>
      </w:pPr>
    </w:p>
    <w:p w14:paraId="73010000">
      <w:pPr>
        <w:spacing w:after="0" w:line="240" w:lineRule="auto"/>
        <w:ind/>
        <w:rPr>
          <w:rFonts w:ascii="Times New Roman" w:hAnsi="Times New Roman"/>
          <w:sz w:val="28"/>
        </w:rPr>
      </w:pPr>
    </w:p>
    <w:p w14:paraId="74010000">
      <w:pPr>
        <w:sectPr>
          <w:headerReference r:id="rId2" w:type="default"/>
          <w:pgSz w:h="16838" w:orient="portrait" w:w="11906"/>
          <w:pgMar w:bottom="1134" w:footer="708" w:gutter="0" w:header="708" w:left="1701" w:right="850" w:top="1134"/>
        </w:sectPr>
      </w:pPr>
    </w:p>
    <w:p w14:paraId="75010000">
      <w:pPr>
        <w:spacing w:after="0" w:line="240" w:lineRule="auto"/>
        <w:ind/>
        <w:jc w:val="right"/>
        <w:rPr>
          <w:rFonts w:ascii="Times New Roman" w:hAnsi="Times New Roman"/>
          <w:sz w:val="28"/>
        </w:rPr>
      </w:pPr>
      <w:r>
        <w:rPr>
          <w:rFonts w:ascii="Times New Roman" w:hAnsi="Times New Roman"/>
          <w:sz w:val="28"/>
        </w:rPr>
        <w:t xml:space="preserve">Приложение № </w:t>
      </w:r>
      <w:r>
        <w:rPr>
          <w:rFonts w:ascii="Times New Roman" w:hAnsi="Times New Roman"/>
          <w:sz w:val="28"/>
        </w:rPr>
        <w:t>5</w:t>
      </w:r>
    </w:p>
    <w:p w14:paraId="76010000">
      <w:pPr>
        <w:spacing w:after="0" w:line="240" w:lineRule="auto"/>
        <w:ind/>
        <w:jc w:val="right"/>
        <w:rPr>
          <w:rFonts w:ascii="Times New Roman" w:hAnsi="Times New Roman"/>
          <w:sz w:val="28"/>
        </w:rPr>
      </w:pPr>
      <w:r>
        <w:rPr>
          <w:rFonts w:ascii="Times New Roman" w:hAnsi="Times New Roman"/>
          <w:sz w:val="28"/>
        </w:rPr>
        <w:t xml:space="preserve">к Порядку «Субсидирование части затрат, </w:t>
      </w:r>
    </w:p>
    <w:p w14:paraId="77010000">
      <w:pPr>
        <w:keepNext w:val="1"/>
        <w:spacing w:after="0" w:line="240" w:lineRule="auto"/>
        <w:ind w:firstLine="0" w:left="-993"/>
        <w:jc w:val="right"/>
        <w:outlineLvl w:val="3"/>
        <w:rPr>
          <w:rFonts w:ascii="Times New Roman" w:hAnsi="Times New Roman"/>
          <w:sz w:val="28"/>
        </w:rPr>
      </w:pPr>
      <w:r>
        <w:rPr>
          <w:rFonts w:ascii="Times New Roman" w:hAnsi="Times New Roman"/>
          <w:sz w:val="28"/>
        </w:rPr>
        <w:t>связанных</w:t>
      </w:r>
      <w:r>
        <w:rPr>
          <w:rFonts w:ascii="Times New Roman" w:hAnsi="Times New Roman"/>
          <w:sz w:val="28"/>
        </w:rPr>
        <w:t xml:space="preserve"> с технологическим присоединением</w:t>
      </w:r>
    </w:p>
    <w:p w14:paraId="78010000">
      <w:pPr>
        <w:spacing w:after="0" w:line="240" w:lineRule="auto"/>
        <w:ind/>
        <w:jc w:val="right"/>
        <w:rPr>
          <w:rFonts w:ascii="Times New Roman" w:hAnsi="Times New Roman"/>
          <w:sz w:val="28"/>
        </w:rPr>
      </w:pP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p>
    <w:p w14:paraId="79010000">
      <w:pPr>
        <w:spacing w:after="0" w:line="240" w:lineRule="auto"/>
        <w:ind w:firstLine="540" w:left="0"/>
        <w:jc w:val="center"/>
        <w:rPr>
          <w:rFonts w:ascii="Times New Roman" w:hAnsi="Times New Roman"/>
          <w:sz w:val="28"/>
        </w:rPr>
      </w:pPr>
    </w:p>
    <w:p w14:paraId="7A010000">
      <w:pPr>
        <w:spacing w:after="0" w:line="240" w:lineRule="auto"/>
        <w:ind w:firstLine="540" w:left="0"/>
        <w:jc w:val="center"/>
        <w:rPr>
          <w:rFonts w:ascii="Times New Roman" w:hAnsi="Times New Roman"/>
          <w:sz w:val="28"/>
        </w:rPr>
      </w:pPr>
    </w:p>
    <w:p w14:paraId="7B010000">
      <w:pPr>
        <w:widowControl w:val="0"/>
        <w:spacing w:after="0" w:line="240" w:lineRule="auto"/>
        <w:ind/>
        <w:jc w:val="center"/>
        <w:outlineLvl w:val="1"/>
        <w:rPr>
          <w:rFonts w:ascii="Times New Roman" w:hAnsi="Times New Roman"/>
          <w:b w:val="1"/>
          <w:sz w:val="28"/>
        </w:rPr>
      </w:pPr>
      <w:r>
        <w:rPr>
          <w:rFonts w:ascii="Times New Roman" w:hAnsi="Times New Roman"/>
          <w:b w:val="1"/>
          <w:sz w:val="28"/>
        </w:rPr>
        <w:t>Журнал регистрации заявлений</w:t>
      </w:r>
    </w:p>
    <w:p w14:paraId="7C010000">
      <w:pPr>
        <w:widowControl w:val="0"/>
        <w:spacing w:after="0" w:line="240" w:lineRule="auto"/>
        <w:ind/>
        <w:jc w:val="center"/>
        <w:outlineLvl w:val="1"/>
        <w:rPr>
          <w:rFonts w:ascii="Times New Roman" w:hAnsi="Times New Roman"/>
          <w:b w:val="1"/>
          <w:sz w:val="28"/>
        </w:rPr>
      </w:pPr>
      <w:r>
        <w:rPr>
          <w:rFonts w:ascii="Times New Roman" w:hAnsi="Times New Roman"/>
          <w:b w:val="1"/>
          <w:sz w:val="28"/>
        </w:rPr>
        <w:t xml:space="preserve">на предоставление </w:t>
      </w:r>
      <w:r>
        <w:rPr>
          <w:rFonts w:ascii="Times New Roman" w:hAnsi="Times New Roman"/>
          <w:b w:val="1"/>
          <w:sz w:val="28"/>
        </w:rPr>
        <w:t>субсидии</w:t>
      </w:r>
    </w:p>
    <w:p w14:paraId="7D010000">
      <w:pPr>
        <w:widowControl w:val="0"/>
        <w:spacing w:after="0" w:line="240" w:lineRule="auto"/>
        <w:ind/>
        <w:jc w:val="center"/>
        <w:outlineLvl w:val="1"/>
        <w:rPr>
          <w:rFonts w:ascii="Times New Roman" w:hAnsi="Times New Roman"/>
          <w:sz w:val="28"/>
        </w:rPr>
      </w:pPr>
    </w:p>
    <w:tbl>
      <w:tblPr>
        <w:tblStyle w:val="Style_3"/>
        <w:tblW w:type="auto" w:w="0"/>
        <w:tblInd w:type="dxa" w:w="354"/>
        <w:tblLayout w:type="fixed"/>
        <w:tblCellMar>
          <w:left w:type="dxa" w:w="70"/>
          <w:right w:type="dxa" w:w="70"/>
        </w:tblCellMar>
      </w:tblPr>
      <w:tblGrid>
        <w:gridCol w:w="1701"/>
        <w:gridCol w:w="1417"/>
        <w:gridCol w:w="1418"/>
        <w:gridCol w:w="1134"/>
        <w:gridCol w:w="1134"/>
        <w:gridCol w:w="992"/>
        <w:gridCol w:w="1276"/>
        <w:gridCol w:w="850"/>
        <w:gridCol w:w="1560"/>
        <w:gridCol w:w="1701"/>
        <w:gridCol w:w="1134"/>
      </w:tblGrid>
      <w:tr>
        <w:trPr>
          <w:trHeight w:hRule="atLeast" w:val="600"/>
        </w:trPr>
        <w:tc>
          <w:tcPr>
            <w:tcW w:type="dxa" w:w="1701"/>
            <w:tcBorders>
              <w:top w:color="000000" w:sz="6" w:val="single"/>
              <w:left w:color="000000" w:sz="6" w:val="single"/>
              <w:bottom w:color="000000" w:sz="6" w:val="single"/>
              <w:right w:color="000000" w:sz="6" w:val="single"/>
            </w:tcBorders>
            <w:tcMar>
              <w:left w:type="dxa" w:w="70"/>
              <w:right w:type="dxa" w:w="70"/>
            </w:tcMar>
          </w:tcPr>
          <w:p w14:paraId="7E010000">
            <w:pPr>
              <w:widowControl w:val="0"/>
              <w:spacing w:after="0" w:line="240" w:lineRule="auto"/>
              <w:ind/>
              <w:jc w:val="center"/>
              <w:rPr>
                <w:rFonts w:ascii="Times New Roman" w:hAnsi="Times New Roman"/>
                <w:sz w:val="20"/>
              </w:rPr>
            </w:pPr>
            <w:r>
              <w:rPr>
                <w:rFonts w:ascii="Times New Roman" w:hAnsi="Times New Roman"/>
                <w:sz w:val="20"/>
              </w:rPr>
              <w:t xml:space="preserve">Регистрационный номер и дата </w:t>
            </w:r>
          </w:p>
        </w:tc>
        <w:tc>
          <w:tcPr>
            <w:tcW w:type="dxa" w:w="1417"/>
            <w:tcBorders>
              <w:top w:color="000000" w:sz="6" w:val="single"/>
              <w:left w:color="000000" w:sz="6" w:val="single"/>
              <w:bottom w:color="000000" w:sz="6" w:val="single"/>
              <w:right w:color="000000" w:sz="6" w:val="single"/>
            </w:tcBorders>
            <w:tcMar>
              <w:left w:type="dxa" w:w="70"/>
              <w:right w:type="dxa" w:w="70"/>
            </w:tcMar>
          </w:tcPr>
          <w:p w14:paraId="7F010000">
            <w:pPr>
              <w:widowControl w:val="0"/>
              <w:spacing w:after="0" w:line="240" w:lineRule="auto"/>
              <w:ind/>
              <w:jc w:val="center"/>
              <w:rPr>
                <w:rFonts w:ascii="Times New Roman" w:hAnsi="Times New Roman"/>
                <w:sz w:val="20"/>
              </w:rPr>
            </w:pPr>
            <w:r>
              <w:rPr>
                <w:rFonts w:ascii="Times New Roman" w:hAnsi="Times New Roman"/>
                <w:sz w:val="20"/>
              </w:rPr>
              <w:t xml:space="preserve">Наименование предприятия </w:t>
            </w:r>
          </w:p>
        </w:tc>
        <w:tc>
          <w:tcPr>
            <w:tcW w:type="dxa" w:w="1418"/>
            <w:tcBorders>
              <w:top w:color="000000" w:sz="6" w:val="single"/>
              <w:left w:color="000000" w:sz="6" w:val="single"/>
              <w:bottom w:color="000000" w:sz="6" w:val="single"/>
              <w:right w:color="000000" w:sz="6" w:val="single"/>
            </w:tcBorders>
            <w:tcMar>
              <w:left w:type="dxa" w:w="70"/>
              <w:right w:type="dxa" w:w="70"/>
            </w:tcMar>
          </w:tcPr>
          <w:p w14:paraId="80010000">
            <w:pPr>
              <w:widowControl w:val="0"/>
              <w:spacing w:after="0" w:line="240" w:lineRule="auto"/>
              <w:ind/>
              <w:jc w:val="center"/>
              <w:rPr>
                <w:rFonts w:ascii="Times New Roman" w:hAnsi="Times New Roman"/>
                <w:sz w:val="20"/>
              </w:rPr>
            </w:pPr>
            <w:r>
              <w:rPr>
                <w:rFonts w:ascii="Times New Roman" w:hAnsi="Times New Roman"/>
                <w:sz w:val="20"/>
              </w:rPr>
              <w:t xml:space="preserve">Руководитель </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81010000">
            <w:pPr>
              <w:widowControl w:val="0"/>
              <w:spacing w:after="0" w:line="240" w:lineRule="auto"/>
              <w:ind/>
              <w:jc w:val="center"/>
              <w:rPr>
                <w:rFonts w:ascii="Times New Roman" w:hAnsi="Times New Roman"/>
                <w:sz w:val="20"/>
              </w:rPr>
            </w:pPr>
            <w:r>
              <w:rPr>
                <w:rFonts w:ascii="Times New Roman" w:hAnsi="Times New Roman"/>
                <w:sz w:val="20"/>
              </w:rPr>
              <w:t>Адрес</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82010000">
            <w:pPr>
              <w:widowControl w:val="0"/>
              <w:spacing w:after="0" w:line="240" w:lineRule="auto"/>
              <w:ind/>
              <w:jc w:val="center"/>
              <w:rPr>
                <w:rFonts w:ascii="Times New Roman" w:hAnsi="Times New Roman"/>
                <w:sz w:val="20"/>
              </w:rPr>
            </w:pPr>
            <w:r>
              <w:rPr>
                <w:rFonts w:ascii="Times New Roman" w:hAnsi="Times New Roman"/>
                <w:sz w:val="20"/>
              </w:rPr>
              <w:t>Телефон</w:t>
            </w:r>
          </w:p>
        </w:tc>
        <w:tc>
          <w:tcPr>
            <w:tcW w:type="dxa" w:w="992"/>
            <w:tcBorders>
              <w:top w:color="000000" w:sz="6" w:val="single"/>
              <w:left w:color="000000" w:sz="6" w:val="single"/>
              <w:bottom w:color="000000" w:sz="6" w:val="single"/>
              <w:right w:color="000000" w:sz="6" w:val="single"/>
            </w:tcBorders>
            <w:tcMar>
              <w:left w:type="dxa" w:w="70"/>
              <w:right w:type="dxa" w:w="70"/>
            </w:tcMar>
          </w:tcPr>
          <w:p w14:paraId="83010000">
            <w:pPr>
              <w:widowControl w:val="0"/>
              <w:spacing w:after="0" w:line="240" w:lineRule="auto"/>
              <w:ind/>
              <w:jc w:val="center"/>
              <w:rPr>
                <w:rFonts w:ascii="Times New Roman" w:hAnsi="Times New Roman"/>
                <w:sz w:val="20"/>
              </w:rPr>
            </w:pPr>
            <w:r>
              <w:rPr>
                <w:rFonts w:ascii="Times New Roman" w:hAnsi="Times New Roman"/>
                <w:sz w:val="20"/>
              </w:rPr>
              <w:t>ОГРН,</w:t>
            </w:r>
          </w:p>
          <w:p w14:paraId="84010000">
            <w:pPr>
              <w:widowControl w:val="0"/>
              <w:spacing w:after="0" w:line="240" w:lineRule="auto"/>
              <w:ind/>
              <w:jc w:val="center"/>
              <w:rPr>
                <w:rFonts w:ascii="Times New Roman" w:hAnsi="Times New Roman"/>
                <w:sz w:val="20"/>
              </w:rPr>
            </w:pPr>
            <w:r>
              <w:rPr>
                <w:rFonts w:ascii="Times New Roman" w:hAnsi="Times New Roman"/>
                <w:sz w:val="20"/>
              </w:rPr>
              <w:t>ИНН</w:t>
            </w:r>
          </w:p>
        </w:tc>
        <w:tc>
          <w:tcPr>
            <w:tcW w:type="dxa" w:w="1276"/>
            <w:tcBorders>
              <w:top w:color="000000" w:sz="6" w:val="single"/>
              <w:left w:color="000000" w:sz="6" w:val="single"/>
              <w:bottom w:color="000000" w:sz="6" w:val="single"/>
              <w:right w:color="000000" w:sz="6" w:val="single"/>
            </w:tcBorders>
            <w:tcMar>
              <w:left w:type="dxa" w:w="70"/>
              <w:right w:type="dxa" w:w="70"/>
            </w:tcMar>
          </w:tcPr>
          <w:p w14:paraId="85010000">
            <w:pPr>
              <w:widowControl w:val="0"/>
              <w:spacing w:after="0" w:line="240" w:lineRule="auto"/>
              <w:ind/>
              <w:jc w:val="center"/>
              <w:rPr>
                <w:rFonts w:ascii="Times New Roman" w:hAnsi="Times New Roman"/>
                <w:sz w:val="20"/>
              </w:rPr>
            </w:pPr>
            <w:r>
              <w:rPr>
                <w:rFonts w:ascii="Times New Roman" w:hAnsi="Times New Roman"/>
                <w:sz w:val="20"/>
              </w:rPr>
              <w:t>Дата регистрации предприятия</w:t>
            </w:r>
          </w:p>
        </w:tc>
        <w:tc>
          <w:tcPr>
            <w:tcW w:type="dxa" w:w="850"/>
            <w:tcBorders>
              <w:top w:color="000000" w:sz="6" w:val="single"/>
              <w:left w:color="000000" w:sz="6" w:val="single"/>
              <w:bottom w:color="000000" w:sz="6" w:val="single"/>
              <w:right w:color="000000" w:sz="6" w:val="single"/>
            </w:tcBorders>
            <w:tcMar>
              <w:left w:type="dxa" w:w="70"/>
              <w:right w:type="dxa" w:w="70"/>
            </w:tcMar>
          </w:tcPr>
          <w:p w14:paraId="86010000">
            <w:pPr>
              <w:widowControl w:val="0"/>
              <w:spacing w:after="0" w:line="240" w:lineRule="auto"/>
              <w:ind/>
              <w:jc w:val="center"/>
              <w:rPr>
                <w:rFonts w:ascii="Times New Roman" w:hAnsi="Times New Roman"/>
                <w:sz w:val="20"/>
              </w:rPr>
            </w:pPr>
            <w:r>
              <w:rPr>
                <w:rFonts w:ascii="Times New Roman" w:hAnsi="Times New Roman"/>
                <w:sz w:val="20"/>
              </w:rPr>
              <w:t>ОКВЭД</w:t>
            </w:r>
          </w:p>
        </w:tc>
        <w:tc>
          <w:tcPr>
            <w:tcW w:type="dxa" w:w="1560"/>
            <w:tcBorders>
              <w:top w:color="000000" w:sz="6" w:val="single"/>
              <w:left w:color="000000" w:sz="6" w:val="single"/>
              <w:bottom w:color="000000" w:sz="6" w:val="single"/>
              <w:right w:color="000000" w:sz="6" w:val="single"/>
            </w:tcBorders>
            <w:tcMar>
              <w:left w:type="dxa" w:w="70"/>
              <w:right w:type="dxa" w:w="70"/>
            </w:tcMar>
          </w:tcPr>
          <w:p w14:paraId="87010000">
            <w:pPr>
              <w:widowControl w:val="0"/>
              <w:spacing w:after="0" w:line="240" w:lineRule="auto"/>
              <w:ind/>
              <w:jc w:val="center"/>
              <w:rPr>
                <w:rFonts w:ascii="Times New Roman" w:hAnsi="Times New Roman"/>
                <w:sz w:val="20"/>
              </w:rPr>
            </w:pPr>
            <w:r>
              <w:rPr>
                <w:rFonts w:ascii="Times New Roman" w:hAnsi="Times New Roman"/>
                <w:sz w:val="20"/>
              </w:rPr>
              <w:t>Наименование приобретенного оборудования</w:t>
            </w:r>
          </w:p>
        </w:tc>
        <w:tc>
          <w:tcPr>
            <w:tcW w:type="dxa" w:w="1701"/>
            <w:tcBorders>
              <w:top w:color="000000" w:sz="6" w:val="single"/>
              <w:left w:color="000000" w:sz="6" w:val="single"/>
              <w:bottom w:color="000000" w:sz="6" w:val="single"/>
              <w:right w:color="000000" w:sz="6" w:val="single"/>
            </w:tcBorders>
            <w:tcMar>
              <w:left w:type="dxa" w:w="70"/>
              <w:right w:type="dxa" w:w="70"/>
            </w:tcMar>
          </w:tcPr>
          <w:p w14:paraId="88010000">
            <w:pPr>
              <w:widowControl w:val="0"/>
              <w:spacing w:after="0" w:line="240" w:lineRule="auto"/>
              <w:ind/>
              <w:jc w:val="center"/>
              <w:rPr>
                <w:rFonts w:ascii="Times New Roman" w:hAnsi="Times New Roman"/>
                <w:sz w:val="20"/>
              </w:rPr>
            </w:pPr>
            <w:r>
              <w:rPr>
                <w:rFonts w:ascii="Times New Roman" w:hAnsi="Times New Roman"/>
                <w:sz w:val="20"/>
              </w:rPr>
              <w:t>Сохранение/</w:t>
            </w:r>
          </w:p>
          <w:p w14:paraId="89010000">
            <w:pPr>
              <w:widowControl w:val="0"/>
              <w:spacing w:after="0" w:line="240" w:lineRule="auto"/>
              <w:ind/>
              <w:jc w:val="center"/>
              <w:rPr>
                <w:rFonts w:ascii="Times New Roman" w:hAnsi="Times New Roman"/>
                <w:sz w:val="20"/>
              </w:rPr>
            </w:pPr>
            <w:r>
              <w:rPr>
                <w:rFonts w:ascii="Times New Roman" w:hAnsi="Times New Roman"/>
                <w:sz w:val="20"/>
              </w:rPr>
              <w:t xml:space="preserve">создание рабочих мест </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8A010000">
            <w:pPr>
              <w:widowControl w:val="0"/>
              <w:spacing w:after="0" w:line="240" w:lineRule="auto"/>
              <w:ind/>
              <w:jc w:val="center"/>
              <w:rPr>
                <w:rFonts w:ascii="Times New Roman" w:hAnsi="Times New Roman"/>
                <w:sz w:val="20"/>
              </w:rPr>
            </w:pPr>
            <w:r>
              <w:rPr>
                <w:rFonts w:ascii="Times New Roman" w:hAnsi="Times New Roman"/>
                <w:sz w:val="20"/>
              </w:rPr>
              <w:t xml:space="preserve">Сумма субсидии </w:t>
            </w:r>
          </w:p>
        </w:tc>
      </w:tr>
      <w:tr>
        <w:trPr>
          <w:trHeight w:hRule="atLeast" w:val="240"/>
        </w:trPr>
        <w:tc>
          <w:tcPr>
            <w:tcW w:type="dxa" w:w="1701"/>
            <w:tcBorders>
              <w:top w:color="000000" w:sz="6" w:val="single"/>
              <w:left w:color="000000" w:sz="6" w:val="single"/>
              <w:bottom w:color="000000" w:sz="6" w:val="single"/>
              <w:right w:color="000000" w:sz="6" w:val="single"/>
            </w:tcBorders>
            <w:tcMar>
              <w:left w:type="dxa" w:w="70"/>
              <w:right w:type="dxa" w:w="70"/>
            </w:tcMar>
          </w:tcPr>
          <w:p w14:paraId="8B010000">
            <w:pPr>
              <w:widowControl w:val="0"/>
              <w:spacing w:after="0" w:line="240" w:lineRule="auto"/>
              <w:ind/>
              <w:jc w:val="center"/>
              <w:rPr>
                <w:rFonts w:ascii="Times New Roman" w:hAnsi="Times New Roman"/>
                <w:sz w:val="28"/>
              </w:rPr>
            </w:pPr>
            <w:r>
              <w:rPr>
                <w:rFonts w:ascii="Times New Roman" w:hAnsi="Times New Roman"/>
                <w:sz w:val="28"/>
              </w:rPr>
              <w:t>1</w:t>
            </w:r>
          </w:p>
        </w:tc>
        <w:tc>
          <w:tcPr>
            <w:tcW w:type="dxa" w:w="1417"/>
            <w:tcBorders>
              <w:top w:color="000000" w:sz="6" w:val="single"/>
              <w:left w:color="000000" w:sz="6" w:val="single"/>
              <w:bottom w:color="000000" w:sz="6" w:val="single"/>
              <w:right w:color="000000" w:sz="6" w:val="single"/>
            </w:tcBorders>
            <w:tcMar>
              <w:left w:type="dxa" w:w="70"/>
              <w:right w:type="dxa" w:w="70"/>
            </w:tcMar>
          </w:tcPr>
          <w:p w14:paraId="8C010000">
            <w:pPr>
              <w:widowControl w:val="0"/>
              <w:spacing w:after="0" w:line="240" w:lineRule="auto"/>
              <w:ind/>
              <w:jc w:val="center"/>
              <w:rPr>
                <w:rFonts w:ascii="Times New Roman" w:hAnsi="Times New Roman"/>
                <w:sz w:val="28"/>
              </w:rPr>
            </w:pPr>
            <w:r>
              <w:rPr>
                <w:rFonts w:ascii="Times New Roman" w:hAnsi="Times New Roman"/>
                <w:sz w:val="28"/>
              </w:rPr>
              <w:t>2</w:t>
            </w:r>
          </w:p>
        </w:tc>
        <w:tc>
          <w:tcPr>
            <w:tcW w:type="dxa" w:w="1418"/>
            <w:tcBorders>
              <w:top w:color="000000" w:sz="6" w:val="single"/>
              <w:left w:color="000000" w:sz="6" w:val="single"/>
              <w:bottom w:color="000000" w:sz="6" w:val="single"/>
              <w:right w:color="000000" w:sz="6" w:val="single"/>
            </w:tcBorders>
            <w:tcMar>
              <w:left w:type="dxa" w:w="70"/>
              <w:right w:type="dxa" w:w="70"/>
            </w:tcMar>
          </w:tcPr>
          <w:p w14:paraId="8D010000">
            <w:pPr>
              <w:widowControl w:val="0"/>
              <w:spacing w:after="0" w:line="240" w:lineRule="auto"/>
              <w:ind/>
              <w:jc w:val="center"/>
              <w:rPr>
                <w:rFonts w:ascii="Times New Roman" w:hAnsi="Times New Roman"/>
                <w:sz w:val="28"/>
              </w:rPr>
            </w:pPr>
            <w:r>
              <w:rPr>
                <w:rFonts w:ascii="Times New Roman" w:hAnsi="Times New Roman"/>
                <w:sz w:val="28"/>
              </w:rPr>
              <w:t>3</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8E010000">
            <w:pPr>
              <w:widowControl w:val="0"/>
              <w:spacing w:after="0" w:line="240" w:lineRule="auto"/>
              <w:ind/>
              <w:jc w:val="center"/>
              <w:rPr>
                <w:rFonts w:ascii="Times New Roman" w:hAnsi="Times New Roman"/>
                <w:sz w:val="28"/>
              </w:rPr>
            </w:pPr>
            <w:r>
              <w:rPr>
                <w:rFonts w:ascii="Times New Roman" w:hAnsi="Times New Roman"/>
                <w:sz w:val="28"/>
              </w:rPr>
              <w:t>4</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8F010000">
            <w:pPr>
              <w:widowControl w:val="0"/>
              <w:spacing w:after="0" w:line="240" w:lineRule="auto"/>
              <w:ind/>
              <w:jc w:val="center"/>
              <w:rPr>
                <w:rFonts w:ascii="Times New Roman" w:hAnsi="Times New Roman"/>
                <w:sz w:val="28"/>
              </w:rPr>
            </w:pPr>
            <w:r>
              <w:rPr>
                <w:rFonts w:ascii="Times New Roman" w:hAnsi="Times New Roman"/>
                <w:sz w:val="28"/>
              </w:rPr>
              <w:t>5</w:t>
            </w:r>
          </w:p>
        </w:tc>
        <w:tc>
          <w:tcPr>
            <w:tcW w:type="dxa" w:w="992"/>
            <w:tcBorders>
              <w:top w:color="000000" w:sz="6" w:val="single"/>
              <w:left w:color="000000" w:sz="6" w:val="single"/>
              <w:bottom w:color="000000" w:sz="6" w:val="single"/>
              <w:right w:color="000000" w:sz="6" w:val="single"/>
            </w:tcBorders>
            <w:tcMar>
              <w:left w:type="dxa" w:w="70"/>
              <w:right w:type="dxa" w:w="70"/>
            </w:tcMar>
          </w:tcPr>
          <w:p w14:paraId="90010000">
            <w:pPr>
              <w:widowControl w:val="0"/>
              <w:spacing w:after="0" w:line="240" w:lineRule="auto"/>
              <w:ind/>
              <w:jc w:val="center"/>
              <w:rPr>
                <w:rFonts w:ascii="Times New Roman" w:hAnsi="Times New Roman"/>
                <w:sz w:val="28"/>
              </w:rPr>
            </w:pPr>
            <w:r>
              <w:rPr>
                <w:rFonts w:ascii="Times New Roman" w:hAnsi="Times New Roman"/>
                <w:sz w:val="28"/>
              </w:rPr>
              <w:t>6</w:t>
            </w:r>
          </w:p>
        </w:tc>
        <w:tc>
          <w:tcPr>
            <w:tcW w:type="dxa" w:w="1276"/>
            <w:tcBorders>
              <w:top w:color="000000" w:sz="6" w:val="single"/>
              <w:left w:color="000000" w:sz="6" w:val="single"/>
              <w:bottom w:color="000000" w:sz="6" w:val="single"/>
              <w:right w:color="000000" w:sz="6" w:val="single"/>
            </w:tcBorders>
            <w:tcMar>
              <w:left w:type="dxa" w:w="70"/>
              <w:right w:type="dxa" w:w="70"/>
            </w:tcMar>
          </w:tcPr>
          <w:p w14:paraId="91010000">
            <w:pPr>
              <w:widowControl w:val="0"/>
              <w:spacing w:after="0" w:line="240" w:lineRule="auto"/>
              <w:ind/>
              <w:jc w:val="center"/>
              <w:rPr>
                <w:rFonts w:ascii="Times New Roman" w:hAnsi="Times New Roman"/>
                <w:sz w:val="28"/>
              </w:rPr>
            </w:pPr>
            <w:r>
              <w:rPr>
                <w:rFonts w:ascii="Times New Roman" w:hAnsi="Times New Roman"/>
                <w:sz w:val="28"/>
              </w:rPr>
              <w:t>7</w:t>
            </w:r>
          </w:p>
        </w:tc>
        <w:tc>
          <w:tcPr>
            <w:tcW w:type="dxa" w:w="850"/>
            <w:tcBorders>
              <w:top w:color="000000" w:sz="6" w:val="single"/>
              <w:left w:color="000000" w:sz="6" w:val="single"/>
              <w:bottom w:color="000000" w:sz="6" w:val="single"/>
              <w:right w:color="000000" w:sz="6" w:val="single"/>
            </w:tcBorders>
            <w:tcMar>
              <w:left w:type="dxa" w:w="70"/>
              <w:right w:type="dxa" w:w="70"/>
            </w:tcMar>
          </w:tcPr>
          <w:p w14:paraId="92010000">
            <w:pPr>
              <w:widowControl w:val="0"/>
              <w:spacing w:after="0" w:line="240" w:lineRule="auto"/>
              <w:ind/>
              <w:jc w:val="center"/>
              <w:rPr>
                <w:rFonts w:ascii="Times New Roman" w:hAnsi="Times New Roman"/>
                <w:sz w:val="28"/>
              </w:rPr>
            </w:pPr>
            <w:r>
              <w:rPr>
                <w:rFonts w:ascii="Times New Roman" w:hAnsi="Times New Roman"/>
                <w:sz w:val="28"/>
              </w:rPr>
              <w:t>8</w:t>
            </w:r>
          </w:p>
        </w:tc>
        <w:tc>
          <w:tcPr>
            <w:tcW w:type="dxa" w:w="1560"/>
            <w:tcBorders>
              <w:top w:color="000000" w:sz="6" w:val="single"/>
              <w:left w:color="000000" w:sz="6" w:val="single"/>
              <w:bottom w:color="000000" w:sz="6" w:val="single"/>
              <w:right w:color="000000" w:sz="6" w:val="single"/>
            </w:tcBorders>
            <w:tcMar>
              <w:left w:type="dxa" w:w="70"/>
              <w:right w:type="dxa" w:w="70"/>
            </w:tcMar>
          </w:tcPr>
          <w:p w14:paraId="93010000">
            <w:pPr>
              <w:widowControl w:val="0"/>
              <w:spacing w:after="0" w:line="240" w:lineRule="auto"/>
              <w:ind/>
              <w:jc w:val="center"/>
              <w:rPr>
                <w:rFonts w:ascii="Times New Roman" w:hAnsi="Times New Roman"/>
                <w:sz w:val="28"/>
              </w:rPr>
            </w:pPr>
            <w:r>
              <w:rPr>
                <w:rFonts w:ascii="Times New Roman" w:hAnsi="Times New Roman"/>
                <w:sz w:val="28"/>
              </w:rPr>
              <w:t>9</w:t>
            </w:r>
          </w:p>
        </w:tc>
        <w:tc>
          <w:tcPr>
            <w:tcW w:type="dxa" w:w="1701"/>
            <w:tcBorders>
              <w:top w:color="000000" w:sz="6" w:val="single"/>
              <w:left w:color="000000" w:sz="6" w:val="single"/>
              <w:bottom w:color="000000" w:sz="6" w:val="single"/>
              <w:right w:color="000000" w:sz="6" w:val="single"/>
            </w:tcBorders>
            <w:tcMar>
              <w:left w:type="dxa" w:w="70"/>
              <w:right w:type="dxa" w:w="70"/>
            </w:tcMar>
          </w:tcPr>
          <w:p w14:paraId="94010000">
            <w:pPr>
              <w:widowControl w:val="0"/>
              <w:spacing w:after="0" w:line="240" w:lineRule="auto"/>
              <w:ind/>
              <w:jc w:val="center"/>
              <w:rPr>
                <w:rFonts w:ascii="Times New Roman" w:hAnsi="Times New Roman"/>
                <w:sz w:val="28"/>
              </w:rPr>
            </w:pPr>
            <w:r>
              <w:rPr>
                <w:rFonts w:ascii="Times New Roman" w:hAnsi="Times New Roman"/>
                <w:sz w:val="28"/>
              </w:rPr>
              <w:t>10</w:t>
            </w:r>
          </w:p>
        </w:tc>
        <w:tc>
          <w:tcPr>
            <w:tcW w:type="dxa" w:w="1134"/>
            <w:tcBorders>
              <w:top w:color="000000" w:sz="6" w:val="single"/>
              <w:left w:color="000000" w:sz="6" w:val="single"/>
              <w:bottom w:color="000000" w:sz="6" w:val="single"/>
              <w:right w:color="000000" w:sz="6" w:val="single"/>
            </w:tcBorders>
            <w:tcMar>
              <w:left w:type="dxa" w:w="70"/>
              <w:right w:type="dxa" w:w="70"/>
            </w:tcMar>
          </w:tcPr>
          <w:p w14:paraId="95010000">
            <w:pPr>
              <w:widowControl w:val="0"/>
              <w:spacing w:after="0" w:line="240" w:lineRule="auto"/>
              <w:ind/>
              <w:jc w:val="center"/>
              <w:rPr>
                <w:rFonts w:ascii="Times New Roman" w:hAnsi="Times New Roman"/>
                <w:sz w:val="28"/>
              </w:rPr>
            </w:pPr>
            <w:r>
              <w:rPr>
                <w:rFonts w:ascii="Times New Roman" w:hAnsi="Times New Roman"/>
                <w:sz w:val="28"/>
              </w:rPr>
              <w:t>11</w:t>
            </w:r>
          </w:p>
        </w:tc>
      </w:tr>
      <w:tr>
        <w:trPr>
          <w:trHeight w:hRule="atLeast" w:val="240"/>
        </w:trPr>
        <w:tc>
          <w:tcPr>
            <w:tcW w:type="dxa" w:w="1701"/>
            <w:tcBorders>
              <w:top w:color="000000" w:sz="6" w:val="single"/>
              <w:left w:color="000000" w:sz="6" w:val="single"/>
              <w:bottom w:color="000000" w:sz="6" w:val="single"/>
              <w:right w:color="000000" w:sz="6" w:val="single"/>
            </w:tcBorders>
            <w:tcMar>
              <w:left w:type="dxa" w:w="70"/>
              <w:right w:type="dxa" w:w="70"/>
            </w:tcMar>
          </w:tcPr>
          <w:p w14:paraId="96010000">
            <w:pPr>
              <w:widowControl w:val="0"/>
              <w:spacing w:after="0" w:line="240" w:lineRule="auto"/>
              <w:ind/>
              <w:jc w:val="center"/>
              <w:rPr>
                <w:rFonts w:ascii="Times New Roman" w:hAnsi="Times New Roman"/>
                <w:sz w:val="28"/>
              </w:rPr>
            </w:pPr>
          </w:p>
        </w:tc>
        <w:tc>
          <w:tcPr>
            <w:tcW w:type="dxa" w:w="1417"/>
            <w:tcBorders>
              <w:top w:color="000000" w:sz="6" w:val="single"/>
              <w:left w:color="000000" w:sz="6" w:val="single"/>
              <w:bottom w:color="000000" w:sz="6" w:val="single"/>
              <w:right w:color="000000" w:sz="6" w:val="single"/>
            </w:tcBorders>
            <w:tcMar>
              <w:left w:type="dxa" w:w="70"/>
              <w:right w:type="dxa" w:w="70"/>
            </w:tcMar>
          </w:tcPr>
          <w:p w14:paraId="97010000">
            <w:pPr>
              <w:widowControl w:val="0"/>
              <w:spacing w:after="0" w:line="240" w:lineRule="auto"/>
              <w:ind/>
              <w:jc w:val="center"/>
              <w:rPr>
                <w:rFonts w:ascii="Times New Roman" w:hAnsi="Times New Roman"/>
                <w:sz w:val="28"/>
              </w:rPr>
            </w:pPr>
          </w:p>
        </w:tc>
        <w:tc>
          <w:tcPr>
            <w:tcW w:type="dxa" w:w="1418"/>
            <w:tcBorders>
              <w:top w:color="000000" w:sz="6" w:val="single"/>
              <w:left w:color="000000" w:sz="6" w:val="single"/>
              <w:bottom w:color="000000" w:sz="6" w:val="single"/>
              <w:right w:color="000000" w:sz="6" w:val="single"/>
            </w:tcBorders>
            <w:tcMar>
              <w:left w:type="dxa" w:w="70"/>
              <w:right w:type="dxa" w:w="70"/>
            </w:tcMar>
          </w:tcPr>
          <w:p w14:paraId="98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99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9A010000">
            <w:pPr>
              <w:widowControl w:val="0"/>
              <w:spacing w:after="0" w:line="240" w:lineRule="auto"/>
              <w:ind/>
              <w:jc w:val="center"/>
              <w:rPr>
                <w:rFonts w:ascii="Times New Roman" w:hAnsi="Times New Roman"/>
                <w:sz w:val="28"/>
              </w:rPr>
            </w:pPr>
          </w:p>
        </w:tc>
        <w:tc>
          <w:tcPr>
            <w:tcW w:type="dxa" w:w="992"/>
            <w:tcBorders>
              <w:top w:color="000000" w:sz="6" w:val="single"/>
              <w:left w:color="000000" w:sz="6" w:val="single"/>
              <w:bottom w:color="000000" w:sz="6" w:val="single"/>
              <w:right w:color="000000" w:sz="6" w:val="single"/>
            </w:tcBorders>
            <w:tcMar>
              <w:left w:type="dxa" w:w="70"/>
              <w:right w:type="dxa" w:w="70"/>
            </w:tcMar>
          </w:tcPr>
          <w:p w14:paraId="9B010000">
            <w:pPr>
              <w:widowControl w:val="0"/>
              <w:spacing w:after="0" w:line="240" w:lineRule="auto"/>
              <w:ind/>
              <w:jc w:val="center"/>
              <w:rPr>
                <w:rFonts w:ascii="Times New Roman" w:hAnsi="Times New Roman"/>
                <w:sz w:val="28"/>
              </w:rPr>
            </w:pPr>
          </w:p>
        </w:tc>
        <w:tc>
          <w:tcPr>
            <w:tcW w:type="dxa" w:w="1276"/>
            <w:tcBorders>
              <w:top w:color="000000" w:sz="6" w:val="single"/>
              <w:left w:color="000000" w:sz="6" w:val="single"/>
              <w:bottom w:color="000000" w:sz="6" w:val="single"/>
              <w:right w:color="000000" w:sz="6" w:val="single"/>
            </w:tcBorders>
            <w:tcMar>
              <w:left w:type="dxa" w:w="70"/>
              <w:right w:type="dxa" w:w="70"/>
            </w:tcMar>
          </w:tcPr>
          <w:p w14:paraId="9C010000">
            <w:pPr>
              <w:widowControl w:val="0"/>
              <w:spacing w:after="0" w:line="240" w:lineRule="auto"/>
              <w:ind/>
              <w:jc w:val="center"/>
              <w:rPr>
                <w:rFonts w:ascii="Times New Roman" w:hAnsi="Times New Roman"/>
                <w:sz w:val="28"/>
              </w:rPr>
            </w:pPr>
          </w:p>
        </w:tc>
        <w:tc>
          <w:tcPr>
            <w:tcW w:type="dxa" w:w="850"/>
            <w:tcBorders>
              <w:top w:color="000000" w:sz="6" w:val="single"/>
              <w:left w:color="000000" w:sz="6" w:val="single"/>
              <w:bottom w:color="000000" w:sz="6" w:val="single"/>
              <w:right w:color="000000" w:sz="6" w:val="single"/>
            </w:tcBorders>
            <w:tcMar>
              <w:left w:type="dxa" w:w="70"/>
              <w:right w:type="dxa" w:w="70"/>
            </w:tcMar>
          </w:tcPr>
          <w:p w14:paraId="9D010000">
            <w:pPr>
              <w:widowControl w:val="0"/>
              <w:spacing w:after="0" w:line="240" w:lineRule="auto"/>
              <w:ind/>
              <w:jc w:val="center"/>
              <w:rPr>
                <w:rFonts w:ascii="Times New Roman" w:hAnsi="Times New Roman"/>
                <w:sz w:val="28"/>
              </w:rPr>
            </w:pPr>
          </w:p>
        </w:tc>
        <w:tc>
          <w:tcPr>
            <w:tcW w:type="dxa" w:w="1560"/>
            <w:tcBorders>
              <w:top w:color="000000" w:sz="6" w:val="single"/>
              <w:left w:color="000000" w:sz="6" w:val="single"/>
              <w:bottom w:color="000000" w:sz="6" w:val="single"/>
              <w:right w:color="000000" w:sz="6" w:val="single"/>
            </w:tcBorders>
            <w:tcMar>
              <w:left w:type="dxa" w:w="70"/>
              <w:right w:type="dxa" w:w="70"/>
            </w:tcMar>
          </w:tcPr>
          <w:p w14:paraId="9E010000">
            <w:pPr>
              <w:widowControl w:val="0"/>
              <w:spacing w:after="0" w:line="240" w:lineRule="auto"/>
              <w:ind/>
              <w:jc w:val="center"/>
              <w:rPr>
                <w:rFonts w:ascii="Times New Roman" w:hAnsi="Times New Roman"/>
                <w:sz w:val="28"/>
              </w:rPr>
            </w:pPr>
          </w:p>
        </w:tc>
        <w:tc>
          <w:tcPr>
            <w:tcW w:type="dxa" w:w="1701"/>
            <w:tcBorders>
              <w:top w:color="000000" w:sz="6" w:val="single"/>
              <w:left w:color="000000" w:sz="6" w:val="single"/>
              <w:bottom w:color="000000" w:sz="6" w:val="single"/>
              <w:right w:color="000000" w:sz="6" w:val="single"/>
            </w:tcBorders>
            <w:tcMar>
              <w:left w:type="dxa" w:w="70"/>
              <w:right w:type="dxa" w:w="70"/>
            </w:tcMar>
          </w:tcPr>
          <w:p w14:paraId="9F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A0010000">
            <w:pPr>
              <w:widowControl w:val="0"/>
              <w:spacing w:after="0" w:line="240" w:lineRule="auto"/>
              <w:ind/>
              <w:jc w:val="center"/>
              <w:rPr>
                <w:rFonts w:ascii="Times New Roman" w:hAnsi="Times New Roman"/>
                <w:sz w:val="28"/>
              </w:rPr>
            </w:pPr>
          </w:p>
        </w:tc>
      </w:tr>
      <w:tr>
        <w:trPr>
          <w:trHeight w:hRule="atLeast" w:val="240"/>
        </w:trPr>
        <w:tc>
          <w:tcPr>
            <w:tcW w:type="dxa" w:w="1701"/>
            <w:tcBorders>
              <w:top w:color="000000" w:sz="6" w:val="single"/>
              <w:left w:color="000000" w:sz="6" w:val="single"/>
              <w:bottom w:color="000000" w:sz="6" w:val="single"/>
              <w:right w:color="000000" w:sz="6" w:val="single"/>
            </w:tcBorders>
            <w:tcMar>
              <w:left w:type="dxa" w:w="70"/>
              <w:right w:type="dxa" w:w="70"/>
            </w:tcMar>
          </w:tcPr>
          <w:p w14:paraId="A1010000">
            <w:pPr>
              <w:widowControl w:val="0"/>
              <w:spacing w:after="0" w:line="240" w:lineRule="auto"/>
              <w:ind/>
              <w:jc w:val="center"/>
              <w:rPr>
                <w:rFonts w:ascii="Times New Roman" w:hAnsi="Times New Roman"/>
                <w:sz w:val="28"/>
              </w:rPr>
            </w:pPr>
          </w:p>
        </w:tc>
        <w:tc>
          <w:tcPr>
            <w:tcW w:type="dxa" w:w="1417"/>
            <w:tcBorders>
              <w:top w:color="000000" w:sz="6" w:val="single"/>
              <w:left w:color="000000" w:sz="6" w:val="single"/>
              <w:bottom w:color="000000" w:sz="6" w:val="single"/>
              <w:right w:color="000000" w:sz="6" w:val="single"/>
            </w:tcBorders>
            <w:tcMar>
              <w:left w:type="dxa" w:w="70"/>
              <w:right w:type="dxa" w:w="70"/>
            </w:tcMar>
          </w:tcPr>
          <w:p w14:paraId="A2010000">
            <w:pPr>
              <w:widowControl w:val="0"/>
              <w:spacing w:after="0" w:line="240" w:lineRule="auto"/>
              <w:ind/>
              <w:jc w:val="center"/>
              <w:rPr>
                <w:rFonts w:ascii="Times New Roman" w:hAnsi="Times New Roman"/>
                <w:sz w:val="28"/>
              </w:rPr>
            </w:pPr>
          </w:p>
        </w:tc>
        <w:tc>
          <w:tcPr>
            <w:tcW w:type="dxa" w:w="1418"/>
            <w:tcBorders>
              <w:top w:color="000000" w:sz="6" w:val="single"/>
              <w:left w:color="000000" w:sz="6" w:val="single"/>
              <w:bottom w:color="000000" w:sz="6" w:val="single"/>
              <w:right w:color="000000" w:sz="6" w:val="single"/>
            </w:tcBorders>
            <w:tcMar>
              <w:left w:type="dxa" w:w="70"/>
              <w:right w:type="dxa" w:w="70"/>
            </w:tcMar>
          </w:tcPr>
          <w:p w14:paraId="A3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A4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A5010000">
            <w:pPr>
              <w:widowControl w:val="0"/>
              <w:spacing w:after="0" w:line="240" w:lineRule="auto"/>
              <w:ind/>
              <w:jc w:val="center"/>
              <w:rPr>
                <w:rFonts w:ascii="Times New Roman" w:hAnsi="Times New Roman"/>
                <w:sz w:val="28"/>
              </w:rPr>
            </w:pPr>
          </w:p>
        </w:tc>
        <w:tc>
          <w:tcPr>
            <w:tcW w:type="dxa" w:w="992"/>
            <w:tcBorders>
              <w:top w:color="000000" w:sz="6" w:val="single"/>
              <w:left w:color="000000" w:sz="6" w:val="single"/>
              <w:bottom w:color="000000" w:sz="6" w:val="single"/>
              <w:right w:color="000000" w:sz="6" w:val="single"/>
            </w:tcBorders>
            <w:tcMar>
              <w:left w:type="dxa" w:w="70"/>
              <w:right w:type="dxa" w:w="70"/>
            </w:tcMar>
          </w:tcPr>
          <w:p w14:paraId="A6010000">
            <w:pPr>
              <w:widowControl w:val="0"/>
              <w:spacing w:after="0" w:line="240" w:lineRule="auto"/>
              <w:ind/>
              <w:jc w:val="center"/>
              <w:rPr>
                <w:rFonts w:ascii="Times New Roman" w:hAnsi="Times New Roman"/>
                <w:sz w:val="28"/>
              </w:rPr>
            </w:pPr>
          </w:p>
        </w:tc>
        <w:tc>
          <w:tcPr>
            <w:tcW w:type="dxa" w:w="1276"/>
            <w:tcBorders>
              <w:top w:color="000000" w:sz="6" w:val="single"/>
              <w:left w:color="000000" w:sz="6" w:val="single"/>
              <w:bottom w:color="000000" w:sz="6" w:val="single"/>
              <w:right w:color="000000" w:sz="6" w:val="single"/>
            </w:tcBorders>
            <w:tcMar>
              <w:left w:type="dxa" w:w="70"/>
              <w:right w:type="dxa" w:w="70"/>
            </w:tcMar>
          </w:tcPr>
          <w:p w14:paraId="A7010000">
            <w:pPr>
              <w:widowControl w:val="0"/>
              <w:spacing w:after="0" w:line="240" w:lineRule="auto"/>
              <w:ind/>
              <w:jc w:val="center"/>
              <w:rPr>
                <w:rFonts w:ascii="Times New Roman" w:hAnsi="Times New Roman"/>
                <w:sz w:val="28"/>
              </w:rPr>
            </w:pPr>
          </w:p>
        </w:tc>
        <w:tc>
          <w:tcPr>
            <w:tcW w:type="dxa" w:w="850"/>
            <w:tcBorders>
              <w:top w:color="000000" w:sz="6" w:val="single"/>
              <w:left w:color="000000" w:sz="6" w:val="single"/>
              <w:bottom w:color="000000" w:sz="6" w:val="single"/>
              <w:right w:color="000000" w:sz="6" w:val="single"/>
            </w:tcBorders>
            <w:tcMar>
              <w:left w:type="dxa" w:w="70"/>
              <w:right w:type="dxa" w:w="70"/>
            </w:tcMar>
          </w:tcPr>
          <w:p w14:paraId="A8010000">
            <w:pPr>
              <w:widowControl w:val="0"/>
              <w:spacing w:after="0" w:line="240" w:lineRule="auto"/>
              <w:ind/>
              <w:jc w:val="center"/>
              <w:rPr>
                <w:rFonts w:ascii="Times New Roman" w:hAnsi="Times New Roman"/>
                <w:sz w:val="28"/>
              </w:rPr>
            </w:pPr>
          </w:p>
        </w:tc>
        <w:tc>
          <w:tcPr>
            <w:tcW w:type="dxa" w:w="1560"/>
            <w:tcBorders>
              <w:top w:color="000000" w:sz="6" w:val="single"/>
              <w:left w:color="000000" w:sz="6" w:val="single"/>
              <w:bottom w:color="000000" w:sz="6" w:val="single"/>
              <w:right w:color="000000" w:sz="6" w:val="single"/>
            </w:tcBorders>
            <w:tcMar>
              <w:left w:type="dxa" w:w="70"/>
              <w:right w:type="dxa" w:w="70"/>
            </w:tcMar>
          </w:tcPr>
          <w:p w14:paraId="A9010000">
            <w:pPr>
              <w:widowControl w:val="0"/>
              <w:spacing w:after="0" w:line="240" w:lineRule="auto"/>
              <w:ind/>
              <w:jc w:val="center"/>
              <w:rPr>
                <w:rFonts w:ascii="Times New Roman" w:hAnsi="Times New Roman"/>
                <w:sz w:val="28"/>
              </w:rPr>
            </w:pPr>
          </w:p>
        </w:tc>
        <w:tc>
          <w:tcPr>
            <w:tcW w:type="dxa" w:w="1701"/>
            <w:tcBorders>
              <w:top w:color="000000" w:sz="6" w:val="single"/>
              <w:left w:color="000000" w:sz="6" w:val="single"/>
              <w:bottom w:color="000000" w:sz="6" w:val="single"/>
              <w:right w:color="000000" w:sz="6" w:val="single"/>
            </w:tcBorders>
            <w:tcMar>
              <w:left w:type="dxa" w:w="70"/>
              <w:right w:type="dxa" w:w="70"/>
            </w:tcMar>
          </w:tcPr>
          <w:p w14:paraId="AA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AB010000">
            <w:pPr>
              <w:widowControl w:val="0"/>
              <w:spacing w:after="0" w:line="240" w:lineRule="auto"/>
              <w:ind/>
              <w:jc w:val="center"/>
              <w:rPr>
                <w:rFonts w:ascii="Times New Roman" w:hAnsi="Times New Roman"/>
                <w:sz w:val="28"/>
              </w:rPr>
            </w:pPr>
          </w:p>
        </w:tc>
      </w:tr>
      <w:tr>
        <w:trPr>
          <w:trHeight w:hRule="atLeast" w:val="240"/>
        </w:trPr>
        <w:tc>
          <w:tcPr>
            <w:tcW w:type="dxa" w:w="1701"/>
            <w:tcBorders>
              <w:top w:color="000000" w:sz="6" w:val="single"/>
              <w:left w:color="000000" w:sz="6" w:val="single"/>
              <w:bottom w:color="000000" w:sz="6" w:val="single"/>
              <w:right w:color="000000" w:sz="6" w:val="single"/>
            </w:tcBorders>
            <w:tcMar>
              <w:left w:type="dxa" w:w="70"/>
              <w:right w:type="dxa" w:w="70"/>
            </w:tcMar>
          </w:tcPr>
          <w:p w14:paraId="AC010000">
            <w:pPr>
              <w:widowControl w:val="0"/>
              <w:spacing w:after="0" w:line="240" w:lineRule="auto"/>
              <w:ind/>
              <w:jc w:val="center"/>
              <w:rPr>
                <w:rFonts w:ascii="Times New Roman" w:hAnsi="Times New Roman"/>
                <w:sz w:val="28"/>
              </w:rPr>
            </w:pPr>
          </w:p>
        </w:tc>
        <w:tc>
          <w:tcPr>
            <w:tcW w:type="dxa" w:w="1417"/>
            <w:tcBorders>
              <w:top w:color="000000" w:sz="6" w:val="single"/>
              <w:left w:color="000000" w:sz="6" w:val="single"/>
              <w:bottom w:color="000000" w:sz="6" w:val="single"/>
              <w:right w:color="000000" w:sz="6" w:val="single"/>
            </w:tcBorders>
            <w:tcMar>
              <w:left w:type="dxa" w:w="70"/>
              <w:right w:type="dxa" w:w="70"/>
            </w:tcMar>
          </w:tcPr>
          <w:p w14:paraId="AD010000">
            <w:pPr>
              <w:widowControl w:val="0"/>
              <w:spacing w:after="0" w:line="240" w:lineRule="auto"/>
              <w:ind/>
              <w:jc w:val="center"/>
              <w:rPr>
                <w:rFonts w:ascii="Times New Roman" w:hAnsi="Times New Roman"/>
                <w:sz w:val="28"/>
              </w:rPr>
            </w:pPr>
          </w:p>
        </w:tc>
        <w:tc>
          <w:tcPr>
            <w:tcW w:type="dxa" w:w="1418"/>
            <w:tcBorders>
              <w:top w:color="000000" w:sz="6" w:val="single"/>
              <w:left w:color="000000" w:sz="6" w:val="single"/>
              <w:bottom w:color="000000" w:sz="6" w:val="single"/>
              <w:right w:color="000000" w:sz="6" w:val="single"/>
            </w:tcBorders>
            <w:tcMar>
              <w:left w:type="dxa" w:w="70"/>
              <w:right w:type="dxa" w:w="70"/>
            </w:tcMar>
          </w:tcPr>
          <w:p w14:paraId="AE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AF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B0010000">
            <w:pPr>
              <w:widowControl w:val="0"/>
              <w:spacing w:after="0" w:line="240" w:lineRule="auto"/>
              <w:ind/>
              <w:jc w:val="center"/>
              <w:rPr>
                <w:rFonts w:ascii="Times New Roman" w:hAnsi="Times New Roman"/>
                <w:sz w:val="28"/>
              </w:rPr>
            </w:pPr>
          </w:p>
        </w:tc>
        <w:tc>
          <w:tcPr>
            <w:tcW w:type="dxa" w:w="992"/>
            <w:tcBorders>
              <w:top w:color="000000" w:sz="6" w:val="single"/>
              <w:left w:color="000000" w:sz="6" w:val="single"/>
              <w:bottom w:color="000000" w:sz="6" w:val="single"/>
              <w:right w:color="000000" w:sz="6" w:val="single"/>
            </w:tcBorders>
            <w:tcMar>
              <w:left w:type="dxa" w:w="70"/>
              <w:right w:type="dxa" w:w="70"/>
            </w:tcMar>
          </w:tcPr>
          <w:p w14:paraId="B1010000">
            <w:pPr>
              <w:widowControl w:val="0"/>
              <w:spacing w:after="0" w:line="240" w:lineRule="auto"/>
              <w:ind/>
              <w:jc w:val="center"/>
              <w:rPr>
                <w:rFonts w:ascii="Times New Roman" w:hAnsi="Times New Roman"/>
                <w:sz w:val="28"/>
              </w:rPr>
            </w:pPr>
          </w:p>
        </w:tc>
        <w:tc>
          <w:tcPr>
            <w:tcW w:type="dxa" w:w="1276"/>
            <w:tcBorders>
              <w:top w:color="000000" w:sz="6" w:val="single"/>
              <w:left w:color="000000" w:sz="6" w:val="single"/>
              <w:bottom w:color="000000" w:sz="6" w:val="single"/>
              <w:right w:color="000000" w:sz="6" w:val="single"/>
            </w:tcBorders>
            <w:tcMar>
              <w:left w:type="dxa" w:w="70"/>
              <w:right w:type="dxa" w:w="70"/>
            </w:tcMar>
          </w:tcPr>
          <w:p w14:paraId="B2010000">
            <w:pPr>
              <w:widowControl w:val="0"/>
              <w:spacing w:after="0" w:line="240" w:lineRule="auto"/>
              <w:ind/>
              <w:jc w:val="center"/>
              <w:rPr>
                <w:rFonts w:ascii="Times New Roman" w:hAnsi="Times New Roman"/>
                <w:sz w:val="28"/>
              </w:rPr>
            </w:pPr>
          </w:p>
        </w:tc>
        <w:tc>
          <w:tcPr>
            <w:tcW w:type="dxa" w:w="850"/>
            <w:tcBorders>
              <w:top w:color="000000" w:sz="6" w:val="single"/>
              <w:left w:color="000000" w:sz="6" w:val="single"/>
              <w:bottom w:color="000000" w:sz="6" w:val="single"/>
              <w:right w:color="000000" w:sz="6" w:val="single"/>
            </w:tcBorders>
            <w:tcMar>
              <w:left w:type="dxa" w:w="70"/>
              <w:right w:type="dxa" w:w="70"/>
            </w:tcMar>
          </w:tcPr>
          <w:p w14:paraId="B3010000">
            <w:pPr>
              <w:widowControl w:val="0"/>
              <w:spacing w:after="0" w:line="240" w:lineRule="auto"/>
              <w:ind/>
              <w:jc w:val="center"/>
              <w:rPr>
                <w:rFonts w:ascii="Times New Roman" w:hAnsi="Times New Roman"/>
                <w:sz w:val="28"/>
              </w:rPr>
            </w:pPr>
          </w:p>
        </w:tc>
        <w:tc>
          <w:tcPr>
            <w:tcW w:type="dxa" w:w="1560"/>
            <w:tcBorders>
              <w:top w:color="000000" w:sz="6" w:val="single"/>
              <w:left w:color="000000" w:sz="6" w:val="single"/>
              <w:bottom w:color="000000" w:sz="6" w:val="single"/>
              <w:right w:color="000000" w:sz="6" w:val="single"/>
            </w:tcBorders>
            <w:tcMar>
              <w:left w:type="dxa" w:w="70"/>
              <w:right w:type="dxa" w:w="70"/>
            </w:tcMar>
          </w:tcPr>
          <w:p w14:paraId="B4010000">
            <w:pPr>
              <w:widowControl w:val="0"/>
              <w:spacing w:after="0" w:line="240" w:lineRule="auto"/>
              <w:ind/>
              <w:jc w:val="center"/>
              <w:rPr>
                <w:rFonts w:ascii="Times New Roman" w:hAnsi="Times New Roman"/>
                <w:sz w:val="28"/>
              </w:rPr>
            </w:pPr>
          </w:p>
        </w:tc>
        <w:tc>
          <w:tcPr>
            <w:tcW w:type="dxa" w:w="1701"/>
            <w:tcBorders>
              <w:top w:color="000000" w:sz="6" w:val="single"/>
              <w:left w:color="000000" w:sz="6" w:val="single"/>
              <w:bottom w:color="000000" w:sz="6" w:val="single"/>
              <w:right w:color="000000" w:sz="6" w:val="single"/>
            </w:tcBorders>
            <w:tcMar>
              <w:left w:type="dxa" w:w="70"/>
              <w:right w:type="dxa" w:w="70"/>
            </w:tcMar>
          </w:tcPr>
          <w:p w14:paraId="B5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B6010000">
            <w:pPr>
              <w:widowControl w:val="0"/>
              <w:spacing w:after="0" w:line="240" w:lineRule="auto"/>
              <w:ind/>
              <w:jc w:val="center"/>
              <w:rPr>
                <w:rFonts w:ascii="Times New Roman" w:hAnsi="Times New Roman"/>
                <w:sz w:val="28"/>
              </w:rPr>
            </w:pPr>
          </w:p>
        </w:tc>
      </w:tr>
      <w:tr>
        <w:trPr>
          <w:trHeight w:hRule="atLeast" w:val="240"/>
        </w:trPr>
        <w:tc>
          <w:tcPr>
            <w:tcW w:type="dxa" w:w="1701"/>
            <w:tcBorders>
              <w:top w:color="000000" w:sz="6" w:val="single"/>
              <w:left w:color="000000" w:sz="6" w:val="single"/>
              <w:bottom w:color="000000" w:sz="6" w:val="single"/>
              <w:right w:color="000000" w:sz="6" w:val="single"/>
            </w:tcBorders>
            <w:tcMar>
              <w:left w:type="dxa" w:w="70"/>
              <w:right w:type="dxa" w:w="70"/>
            </w:tcMar>
          </w:tcPr>
          <w:p w14:paraId="B7010000">
            <w:pPr>
              <w:widowControl w:val="0"/>
              <w:spacing w:after="0" w:line="240" w:lineRule="auto"/>
              <w:ind/>
              <w:jc w:val="center"/>
              <w:rPr>
                <w:rFonts w:ascii="Times New Roman" w:hAnsi="Times New Roman"/>
                <w:sz w:val="28"/>
              </w:rPr>
            </w:pPr>
          </w:p>
        </w:tc>
        <w:tc>
          <w:tcPr>
            <w:tcW w:type="dxa" w:w="1417"/>
            <w:tcBorders>
              <w:top w:color="000000" w:sz="6" w:val="single"/>
              <w:left w:color="000000" w:sz="6" w:val="single"/>
              <w:bottom w:color="000000" w:sz="6" w:val="single"/>
              <w:right w:color="000000" w:sz="6" w:val="single"/>
            </w:tcBorders>
            <w:tcMar>
              <w:left w:type="dxa" w:w="70"/>
              <w:right w:type="dxa" w:w="70"/>
            </w:tcMar>
          </w:tcPr>
          <w:p w14:paraId="B8010000">
            <w:pPr>
              <w:widowControl w:val="0"/>
              <w:spacing w:after="0" w:line="240" w:lineRule="auto"/>
              <w:ind/>
              <w:jc w:val="center"/>
              <w:rPr>
                <w:rFonts w:ascii="Times New Roman" w:hAnsi="Times New Roman"/>
                <w:sz w:val="28"/>
              </w:rPr>
            </w:pPr>
          </w:p>
        </w:tc>
        <w:tc>
          <w:tcPr>
            <w:tcW w:type="dxa" w:w="1418"/>
            <w:tcBorders>
              <w:top w:color="000000" w:sz="6" w:val="single"/>
              <w:left w:color="000000" w:sz="6" w:val="single"/>
              <w:bottom w:color="000000" w:sz="6" w:val="single"/>
              <w:right w:color="000000" w:sz="6" w:val="single"/>
            </w:tcBorders>
            <w:tcMar>
              <w:left w:type="dxa" w:w="70"/>
              <w:right w:type="dxa" w:w="70"/>
            </w:tcMar>
          </w:tcPr>
          <w:p w14:paraId="B9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BA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BB010000">
            <w:pPr>
              <w:widowControl w:val="0"/>
              <w:spacing w:after="0" w:line="240" w:lineRule="auto"/>
              <w:ind/>
              <w:jc w:val="center"/>
              <w:rPr>
                <w:rFonts w:ascii="Times New Roman" w:hAnsi="Times New Roman"/>
                <w:sz w:val="28"/>
              </w:rPr>
            </w:pPr>
          </w:p>
        </w:tc>
        <w:tc>
          <w:tcPr>
            <w:tcW w:type="dxa" w:w="992"/>
            <w:tcBorders>
              <w:top w:color="000000" w:sz="6" w:val="single"/>
              <w:left w:color="000000" w:sz="6" w:val="single"/>
              <w:bottom w:color="000000" w:sz="6" w:val="single"/>
              <w:right w:color="000000" w:sz="6" w:val="single"/>
            </w:tcBorders>
            <w:tcMar>
              <w:left w:type="dxa" w:w="70"/>
              <w:right w:type="dxa" w:w="70"/>
            </w:tcMar>
          </w:tcPr>
          <w:p w14:paraId="BC010000">
            <w:pPr>
              <w:widowControl w:val="0"/>
              <w:spacing w:after="0" w:line="240" w:lineRule="auto"/>
              <w:ind/>
              <w:jc w:val="center"/>
              <w:rPr>
                <w:rFonts w:ascii="Times New Roman" w:hAnsi="Times New Roman"/>
                <w:sz w:val="28"/>
              </w:rPr>
            </w:pPr>
          </w:p>
        </w:tc>
        <w:tc>
          <w:tcPr>
            <w:tcW w:type="dxa" w:w="1276"/>
            <w:tcBorders>
              <w:top w:color="000000" w:sz="6" w:val="single"/>
              <w:left w:color="000000" w:sz="6" w:val="single"/>
              <w:bottom w:color="000000" w:sz="6" w:val="single"/>
              <w:right w:color="000000" w:sz="6" w:val="single"/>
            </w:tcBorders>
            <w:tcMar>
              <w:left w:type="dxa" w:w="70"/>
              <w:right w:type="dxa" w:w="70"/>
            </w:tcMar>
          </w:tcPr>
          <w:p w14:paraId="BD010000">
            <w:pPr>
              <w:widowControl w:val="0"/>
              <w:spacing w:after="0" w:line="240" w:lineRule="auto"/>
              <w:ind/>
              <w:jc w:val="center"/>
              <w:rPr>
                <w:rFonts w:ascii="Times New Roman" w:hAnsi="Times New Roman"/>
                <w:sz w:val="28"/>
              </w:rPr>
            </w:pPr>
          </w:p>
        </w:tc>
        <w:tc>
          <w:tcPr>
            <w:tcW w:type="dxa" w:w="850"/>
            <w:tcBorders>
              <w:top w:color="000000" w:sz="6" w:val="single"/>
              <w:left w:color="000000" w:sz="6" w:val="single"/>
              <w:bottom w:color="000000" w:sz="6" w:val="single"/>
              <w:right w:color="000000" w:sz="6" w:val="single"/>
            </w:tcBorders>
            <w:tcMar>
              <w:left w:type="dxa" w:w="70"/>
              <w:right w:type="dxa" w:w="70"/>
            </w:tcMar>
          </w:tcPr>
          <w:p w14:paraId="BE010000">
            <w:pPr>
              <w:widowControl w:val="0"/>
              <w:spacing w:after="0" w:line="240" w:lineRule="auto"/>
              <w:ind/>
              <w:jc w:val="center"/>
              <w:rPr>
                <w:rFonts w:ascii="Times New Roman" w:hAnsi="Times New Roman"/>
                <w:sz w:val="28"/>
              </w:rPr>
            </w:pPr>
          </w:p>
        </w:tc>
        <w:tc>
          <w:tcPr>
            <w:tcW w:type="dxa" w:w="1560"/>
            <w:tcBorders>
              <w:top w:color="000000" w:sz="6" w:val="single"/>
              <w:left w:color="000000" w:sz="6" w:val="single"/>
              <w:bottom w:color="000000" w:sz="6" w:val="single"/>
              <w:right w:color="000000" w:sz="6" w:val="single"/>
            </w:tcBorders>
            <w:tcMar>
              <w:left w:type="dxa" w:w="70"/>
              <w:right w:type="dxa" w:w="70"/>
            </w:tcMar>
          </w:tcPr>
          <w:p w14:paraId="BF010000">
            <w:pPr>
              <w:widowControl w:val="0"/>
              <w:spacing w:after="0" w:line="240" w:lineRule="auto"/>
              <w:ind/>
              <w:jc w:val="center"/>
              <w:rPr>
                <w:rFonts w:ascii="Times New Roman" w:hAnsi="Times New Roman"/>
                <w:sz w:val="28"/>
              </w:rPr>
            </w:pPr>
          </w:p>
        </w:tc>
        <w:tc>
          <w:tcPr>
            <w:tcW w:type="dxa" w:w="1701"/>
            <w:tcBorders>
              <w:top w:color="000000" w:sz="6" w:val="single"/>
              <w:left w:color="000000" w:sz="6" w:val="single"/>
              <w:bottom w:color="000000" w:sz="6" w:val="single"/>
              <w:right w:color="000000" w:sz="6" w:val="single"/>
            </w:tcBorders>
            <w:tcMar>
              <w:left w:type="dxa" w:w="70"/>
              <w:right w:type="dxa" w:w="70"/>
            </w:tcMar>
          </w:tcPr>
          <w:p w14:paraId="C0010000">
            <w:pPr>
              <w:widowControl w:val="0"/>
              <w:spacing w:after="0" w:line="240" w:lineRule="auto"/>
              <w:ind/>
              <w:jc w:val="center"/>
              <w:rPr>
                <w:rFonts w:ascii="Times New Roman" w:hAnsi="Times New Roman"/>
                <w:sz w:val="28"/>
              </w:rPr>
            </w:pPr>
          </w:p>
        </w:tc>
        <w:tc>
          <w:tcPr>
            <w:tcW w:type="dxa" w:w="1134"/>
            <w:tcBorders>
              <w:top w:color="000000" w:sz="6" w:val="single"/>
              <w:left w:color="000000" w:sz="6" w:val="single"/>
              <w:bottom w:color="000000" w:sz="6" w:val="single"/>
              <w:right w:color="000000" w:sz="6" w:val="single"/>
            </w:tcBorders>
            <w:tcMar>
              <w:left w:type="dxa" w:w="70"/>
              <w:right w:type="dxa" w:w="70"/>
            </w:tcMar>
          </w:tcPr>
          <w:p w14:paraId="C1010000">
            <w:pPr>
              <w:widowControl w:val="0"/>
              <w:spacing w:after="0" w:line="240" w:lineRule="auto"/>
              <w:ind/>
              <w:jc w:val="center"/>
              <w:rPr>
                <w:rFonts w:ascii="Times New Roman" w:hAnsi="Times New Roman"/>
                <w:sz w:val="28"/>
              </w:rPr>
            </w:pPr>
          </w:p>
        </w:tc>
      </w:tr>
    </w:tbl>
    <w:p w14:paraId="C2010000">
      <w:pPr>
        <w:widowControl w:val="0"/>
        <w:spacing w:after="0" w:line="240" w:lineRule="auto"/>
        <w:ind w:firstLine="851" w:left="0"/>
        <w:jc w:val="center"/>
        <w:outlineLvl w:val="0"/>
        <w:rPr>
          <w:rFonts w:ascii="Times New Roman" w:hAnsi="Times New Roman"/>
          <w:sz w:val="28"/>
        </w:rPr>
      </w:pPr>
    </w:p>
    <w:p w14:paraId="C3010000">
      <w:pPr>
        <w:widowControl w:val="0"/>
        <w:spacing w:after="0" w:line="240" w:lineRule="auto"/>
        <w:ind w:firstLine="851" w:left="0"/>
        <w:jc w:val="center"/>
        <w:outlineLvl w:val="0"/>
        <w:rPr>
          <w:rFonts w:ascii="Times New Roman" w:hAnsi="Times New Roman"/>
          <w:sz w:val="28"/>
        </w:rPr>
      </w:pPr>
    </w:p>
    <w:p w14:paraId="C4010000">
      <w:pPr>
        <w:widowControl w:val="0"/>
        <w:spacing w:after="0" w:line="240" w:lineRule="auto"/>
        <w:ind/>
        <w:jc w:val="right"/>
        <w:rPr>
          <w:rFonts w:ascii="Times New Roman" w:hAnsi="Times New Roman"/>
          <w:sz w:val="28"/>
        </w:rPr>
      </w:pPr>
    </w:p>
    <w:p w14:paraId="C5010000">
      <w:pPr>
        <w:widowControl w:val="0"/>
        <w:spacing w:after="0" w:line="240" w:lineRule="auto"/>
        <w:ind/>
        <w:jc w:val="right"/>
        <w:rPr>
          <w:rFonts w:ascii="Times New Roman" w:hAnsi="Times New Roman"/>
          <w:sz w:val="28"/>
        </w:rPr>
      </w:pPr>
    </w:p>
    <w:p w14:paraId="C6010000">
      <w:pPr>
        <w:widowControl w:val="0"/>
        <w:spacing w:after="0" w:line="240" w:lineRule="auto"/>
        <w:ind/>
        <w:jc w:val="right"/>
        <w:rPr>
          <w:rFonts w:ascii="Times New Roman" w:hAnsi="Times New Roman"/>
          <w:sz w:val="28"/>
        </w:rPr>
      </w:pPr>
    </w:p>
    <w:p w14:paraId="C7010000">
      <w:pPr>
        <w:widowControl w:val="0"/>
        <w:spacing w:after="0" w:line="240" w:lineRule="auto"/>
        <w:ind/>
        <w:jc w:val="right"/>
        <w:rPr>
          <w:rFonts w:ascii="Times New Roman" w:hAnsi="Times New Roman"/>
          <w:sz w:val="28"/>
        </w:rPr>
      </w:pPr>
    </w:p>
    <w:p w14:paraId="C8010000">
      <w:pPr>
        <w:widowControl w:val="0"/>
        <w:spacing w:after="0" w:line="240" w:lineRule="auto"/>
        <w:ind/>
        <w:jc w:val="right"/>
        <w:rPr>
          <w:rFonts w:ascii="Times New Roman" w:hAnsi="Times New Roman"/>
          <w:sz w:val="28"/>
        </w:rPr>
      </w:pPr>
    </w:p>
    <w:p w14:paraId="C9010000">
      <w:pPr>
        <w:widowControl w:val="0"/>
        <w:spacing w:after="0" w:line="240" w:lineRule="auto"/>
        <w:ind/>
        <w:jc w:val="right"/>
        <w:rPr>
          <w:rFonts w:ascii="Times New Roman" w:hAnsi="Times New Roman"/>
          <w:sz w:val="28"/>
        </w:rPr>
      </w:pPr>
    </w:p>
    <w:p w14:paraId="CA010000">
      <w:pPr>
        <w:widowControl w:val="0"/>
        <w:spacing w:after="0" w:line="240" w:lineRule="auto"/>
        <w:ind/>
        <w:jc w:val="right"/>
        <w:rPr>
          <w:rFonts w:ascii="Times New Roman" w:hAnsi="Times New Roman"/>
          <w:sz w:val="28"/>
        </w:rPr>
      </w:pPr>
    </w:p>
    <w:p w14:paraId="CB010000">
      <w:pPr>
        <w:sectPr>
          <w:headerReference r:id="rId5" w:type="default"/>
          <w:pgSz w:h="11906" w:orient="landscape" w:w="16838"/>
          <w:pgMar w:bottom="1701" w:footer="708" w:gutter="0" w:header="708" w:left="1134" w:right="1134" w:top="850"/>
        </w:sectPr>
      </w:pPr>
    </w:p>
    <w:p w14:paraId="CC010000">
      <w:pPr>
        <w:spacing w:after="0" w:line="240" w:lineRule="auto"/>
        <w:ind/>
        <w:jc w:val="right"/>
        <w:rPr>
          <w:rFonts w:ascii="Times New Roman" w:hAnsi="Times New Roman"/>
          <w:sz w:val="28"/>
        </w:rPr>
      </w:pPr>
      <w:r>
        <w:rPr>
          <w:rFonts w:ascii="Times New Roman" w:hAnsi="Times New Roman"/>
          <w:sz w:val="28"/>
        </w:rPr>
        <w:t xml:space="preserve">Приложение № </w:t>
      </w:r>
      <w:r>
        <w:rPr>
          <w:rFonts w:ascii="Times New Roman" w:hAnsi="Times New Roman"/>
          <w:sz w:val="28"/>
        </w:rPr>
        <w:t>6</w:t>
      </w:r>
    </w:p>
    <w:p w14:paraId="CD010000">
      <w:pPr>
        <w:spacing w:after="0" w:line="240" w:lineRule="auto"/>
        <w:ind/>
        <w:jc w:val="right"/>
        <w:rPr>
          <w:rFonts w:ascii="Times New Roman" w:hAnsi="Times New Roman"/>
          <w:sz w:val="28"/>
        </w:rPr>
      </w:pPr>
      <w:r>
        <w:rPr>
          <w:rFonts w:ascii="Times New Roman" w:hAnsi="Times New Roman"/>
          <w:sz w:val="28"/>
        </w:rPr>
        <w:t xml:space="preserve">к Порядку «Субсидирование части затрат, </w:t>
      </w:r>
    </w:p>
    <w:p w14:paraId="CE010000">
      <w:pPr>
        <w:keepNext w:val="1"/>
        <w:spacing w:after="0" w:line="240" w:lineRule="auto"/>
        <w:ind w:firstLine="0" w:left="-993"/>
        <w:jc w:val="right"/>
        <w:outlineLvl w:val="3"/>
        <w:rPr>
          <w:rFonts w:ascii="Times New Roman" w:hAnsi="Times New Roman"/>
          <w:sz w:val="28"/>
        </w:rPr>
      </w:pPr>
      <w:r>
        <w:rPr>
          <w:rFonts w:ascii="Times New Roman" w:hAnsi="Times New Roman"/>
          <w:sz w:val="28"/>
        </w:rPr>
        <w:t>связанных</w:t>
      </w:r>
      <w:r>
        <w:rPr>
          <w:rFonts w:ascii="Times New Roman" w:hAnsi="Times New Roman"/>
          <w:sz w:val="28"/>
        </w:rPr>
        <w:t xml:space="preserve"> с технологическим присоединением</w:t>
      </w:r>
    </w:p>
    <w:p w14:paraId="CF010000">
      <w:pPr>
        <w:spacing w:after="0" w:line="240" w:lineRule="auto"/>
        <w:ind/>
        <w:jc w:val="right"/>
        <w:rPr>
          <w:rFonts w:ascii="Times New Roman" w:hAnsi="Times New Roman"/>
          <w:sz w:val="28"/>
        </w:rPr>
      </w:pPr>
      <w:r>
        <w:rPr>
          <w:rFonts w:ascii="Times New Roman" w:hAnsi="Times New Roman"/>
          <w:sz w:val="28"/>
        </w:rPr>
        <w:t xml:space="preserve"> </w:t>
      </w:r>
      <w:r>
        <w:rPr>
          <w:rFonts w:ascii="Times New Roman" w:hAnsi="Times New Roman"/>
          <w:sz w:val="28"/>
        </w:rPr>
        <w:t>энергопринимающих</w:t>
      </w:r>
      <w:r>
        <w:rPr>
          <w:rFonts w:ascii="Times New Roman" w:hAnsi="Times New Roman"/>
          <w:sz w:val="28"/>
        </w:rPr>
        <w:t xml:space="preserve"> устройств к электрическим сетям»</w:t>
      </w:r>
    </w:p>
    <w:p w14:paraId="D0010000">
      <w:pPr>
        <w:spacing w:after="0" w:line="240" w:lineRule="auto"/>
        <w:ind/>
        <w:jc w:val="center"/>
        <w:rPr>
          <w:rFonts w:ascii="Times New Roman" w:hAnsi="Times New Roman"/>
          <w:sz w:val="28"/>
        </w:rPr>
      </w:pPr>
    </w:p>
    <w:p w14:paraId="D1010000">
      <w:pPr>
        <w:spacing w:after="0" w:line="240" w:lineRule="auto"/>
        <w:ind/>
        <w:jc w:val="center"/>
        <w:rPr>
          <w:rFonts w:ascii="Times New Roman" w:hAnsi="Times New Roman"/>
          <w:b w:val="1"/>
        </w:rPr>
      </w:pPr>
      <w:r>
        <w:rPr>
          <w:rFonts w:ascii="Times New Roman" w:hAnsi="Times New Roman"/>
          <w:b w:val="1"/>
        </w:rPr>
        <w:t xml:space="preserve">Опись документов </w:t>
      </w:r>
    </w:p>
    <w:p w14:paraId="D2010000">
      <w:pPr>
        <w:spacing w:after="0" w:line="240" w:lineRule="auto"/>
        <w:ind/>
        <w:jc w:val="center"/>
        <w:rPr>
          <w:rFonts w:ascii="Times New Roman" w:hAnsi="Times New Roman"/>
          <w:b w:val="1"/>
        </w:rPr>
      </w:pPr>
      <w:r>
        <w:rPr>
          <w:rFonts w:ascii="Times New Roman" w:hAnsi="Times New Roman"/>
        </w:rPr>
        <w:t>принятых</w:t>
      </w:r>
      <w:r>
        <w:rPr>
          <w:rFonts w:ascii="Times New Roman" w:hAnsi="Times New Roman"/>
        </w:rPr>
        <w:t xml:space="preserve"> от организации/индивидуального предпринимателя</w:t>
      </w:r>
    </w:p>
    <w:p w14:paraId="D3010000">
      <w:pPr>
        <w:spacing w:after="0" w:line="240" w:lineRule="auto"/>
        <w:ind/>
        <w:rPr>
          <w:rFonts w:ascii="Times New Roman" w:hAnsi="Times New Roman"/>
        </w:rPr>
      </w:pPr>
      <w:r>
        <w:rPr>
          <w:rFonts w:ascii="Times New Roman" w:hAnsi="Times New Roman"/>
        </w:rPr>
        <w:t>________________________________________________________________________________</w:t>
      </w:r>
    </w:p>
    <w:p w14:paraId="D4010000">
      <w:pPr>
        <w:spacing w:after="0" w:line="240" w:lineRule="auto"/>
        <w:ind/>
        <w:rPr>
          <w:rFonts w:ascii="Times New Roman" w:hAnsi="Times New Roman"/>
        </w:rPr>
      </w:pPr>
      <w:r>
        <w:rPr>
          <w:rFonts w:ascii="Times New Roman" w:hAnsi="Times New Roman"/>
        </w:rPr>
        <w:t>________________________________________________________________________________</w:t>
      </w:r>
    </w:p>
    <w:p w14:paraId="D5010000">
      <w:pPr>
        <w:spacing w:after="0" w:line="240" w:lineRule="auto"/>
        <w:ind/>
        <w:jc w:val="center"/>
        <w:rPr>
          <w:rFonts w:ascii="Times New Roman" w:hAnsi="Times New Roman"/>
        </w:rPr>
      </w:pPr>
      <w:r>
        <w:rPr>
          <w:rFonts w:ascii="Times New Roman" w:hAnsi="Times New Roman"/>
        </w:rPr>
        <w:t>(название организации/Ф.И.О.  предпринимателя)</w:t>
      </w:r>
    </w:p>
    <w:p w14:paraId="D6010000">
      <w:pPr>
        <w:spacing w:after="0" w:line="240" w:lineRule="auto"/>
        <w:ind/>
        <w:jc w:val="center"/>
        <w:rPr>
          <w:rFonts w:ascii="Times New Roman" w:hAnsi="Times New Roman"/>
        </w:rPr>
      </w:pPr>
      <w:r>
        <w:rPr>
          <w:rFonts w:ascii="Times New Roman" w:hAnsi="Times New Roman"/>
        </w:rPr>
        <w:t>на конкурс, проводимый в целях субсидирование части затрат, связанных</w:t>
      </w:r>
    </w:p>
    <w:p w14:paraId="D7010000">
      <w:pPr>
        <w:keepNext w:val="1"/>
        <w:spacing w:after="0" w:line="240" w:lineRule="auto"/>
        <w:ind w:firstLine="0" w:left="-993"/>
        <w:jc w:val="center"/>
        <w:outlineLvl w:val="3"/>
        <w:rPr>
          <w:rFonts w:ascii="Times New Roman" w:hAnsi="Times New Roman"/>
        </w:rPr>
      </w:pPr>
      <w:r>
        <w:rPr>
          <w:rFonts w:ascii="Times New Roman" w:hAnsi="Times New Roman"/>
        </w:rPr>
        <w:t xml:space="preserve">         с технологическим присоединением </w:t>
      </w:r>
      <w:r>
        <w:rPr>
          <w:rFonts w:ascii="Times New Roman" w:hAnsi="Times New Roman"/>
        </w:rPr>
        <w:t>энергопринимающих</w:t>
      </w:r>
      <w:r>
        <w:rPr>
          <w:rFonts w:ascii="Times New Roman" w:hAnsi="Times New Roman"/>
        </w:rPr>
        <w:t xml:space="preserve"> устройств к электрическим сетям</w:t>
      </w:r>
    </w:p>
    <w:p w14:paraId="D8010000">
      <w:pPr>
        <w:keepNext w:val="1"/>
        <w:spacing w:after="0" w:line="240" w:lineRule="auto"/>
        <w:ind w:firstLine="0" w:left="-993"/>
        <w:jc w:val="center"/>
        <w:outlineLvl w:val="3"/>
        <w:rPr>
          <w:rFonts w:ascii="Times New Roman" w:hAnsi="Times New Roman"/>
        </w:rPr>
      </w:pPr>
    </w:p>
    <w:tbl>
      <w:tblPr>
        <w:tblStyle w:val="Style_3"/>
        <w:tblW w:type="auto" w:w="0"/>
        <w:tblLayout w:type="fixed"/>
      </w:tblPr>
      <w:tblGrid>
        <w:gridCol w:w="675"/>
        <w:gridCol w:w="7278"/>
        <w:gridCol w:w="1617"/>
      </w:tblGrid>
      <w:tr>
        <w:tc>
          <w:tcPr>
            <w:tcW w:type="dxa" w:w="675"/>
            <w:tcBorders>
              <w:top w:color="000000" w:sz="4" w:val="single"/>
              <w:left w:color="000000" w:sz="4" w:val="single"/>
              <w:bottom w:color="000000" w:sz="4" w:val="single"/>
              <w:right w:color="000000" w:sz="4" w:val="single"/>
            </w:tcBorders>
          </w:tcPr>
          <w:p w14:paraId="D9010000">
            <w:pPr>
              <w:spacing w:line="240" w:lineRule="auto"/>
              <w:ind/>
              <w:jc w:val="center"/>
              <w:rPr>
                <w:rFonts w:ascii="Times New Roman" w:hAnsi="Times New Roman"/>
                <w:sz w:val="24"/>
              </w:rPr>
            </w:pPr>
            <w:r>
              <w:rPr>
                <w:rFonts w:ascii="Times New Roman" w:hAnsi="Times New Roman"/>
                <w:sz w:val="24"/>
              </w:rPr>
              <w:t>№</w:t>
            </w:r>
          </w:p>
        </w:tc>
        <w:tc>
          <w:tcPr>
            <w:tcW w:type="dxa" w:w="7278"/>
            <w:tcBorders>
              <w:top w:color="000000" w:sz="4" w:val="single"/>
              <w:left w:color="000000" w:sz="4" w:val="single"/>
              <w:bottom w:color="000000" w:sz="4" w:val="single"/>
              <w:right w:color="000000" w:sz="4" w:val="single"/>
            </w:tcBorders>
          </w:tcPr>
          <w:p w14:paraId="DA010000">
            <w:pPr>
              <w:spacing w:line="240" w:lineRule="auto"/>
              <w:ind/>
              <w:jc w:val="center"/>
              <w:rPr>
                <w:rFonts w:ascii="Times New Roman" w:hAnsi="Times New Roman"/>
                <w:sz w:val="24"/>
              </w:rPr>
            </w:pPr>
            <w:r>
              <w:rPr>
                <w:rFonts w:ascii="Times New Roman" w:hAnsi="Times New Roman"/>
                <w:sz w:val="24"/>
              </w:rPr>
              <w:t>Список документов</w:t>
            </w:r>
          </w:p>
        </w:tc>
        <w:tc>
          <w:tcPr>
            <w:tcW w:type="dxa" w:w="1617"/>
            <w:tcBorders>
              <w:top w:color="000000" w:sz="4" w:val="single"/>
              <w:left w:color="000000" w:sz="4" w:val="single"/>
              <w:bottom w:color="000000" w:sz="4" w:val="single"/>
              <w:right w:color="000000" w:sz="4" w:val="single"/>
            </w:tcBorders>
          </w:tcPr>
          <w:p w14:paraId="DB010000">
            <w:pPr>
              <w:spacing w:line="240" w:lineRule="auto"/>
              <w:ind/>
              <w:jc w:val="center"/>
              <w:rPr>
                <w:rFonts w:ascii="Times New Roman" w:hAnsi="Times New Roman"/>
                <w:sz w:val="24"/>
              </w:rPr>
            </w:pPr>
            <w:r>
              <w:rPr>
                <w:rFonts w:ascii="Times New Roman" w:hAnsi="Times New Roman"/>
                <w:sz w:val="24"/>
              </w:rPr>
              <w:t>Количество листов</w:t>
            </w:r>
          </w:p>
        </w:tc>
      </w:tr>
      <w:tr>
        <w:tc>
          <w:tcPr>
            <w:tcW w:type="dxa" w:w="675"/>
            <w:tcBorders>
              <w:top w:color="000000" w:sz="4" w:val="single"/>
              <w:left w:color="000000" w:sz="4" w:val="single"/>
              <w:bottom w:color="000000" w:sz="4" w:val="single"/>
              <w:right w:color="000000" w:sz="4" w:val="single"/>
            </w:tcBorders>
          </w:tcPr>
          <w:p w14:paraId="DC010000">
            <w:pPr>
              <w:spacing w:line="240" w:lineRule="auto"/>
              <w:ind/>
              <w:rPr>
                <w:rFonts w:ascii="Times New Roman" w:hAnsi="Times New Roman"/>
                <w:sz w:val="24"/>
              </w:rPr>
            </w:pPr>
            <w:r>
              <w:rPr>
                <w:rFonts w:ascii="Times New Roman" w:hAnsi="Times New Roman"/>
                <w:sz w:val="24"/>
              </w:rPr>
              <w:t>1</w:t>
            </w:r>
          </w:p>
        </w:tc>
        <w:tc>
          <w:tcPr>
            <w:tcW w:type="dxa" w:w="7278"/>
            <w:tcBorders>
              <w:top w:color="000000" w:sz="4" w:val="single"/>
              <w:left w:color="000000" w:sz="4" w:val="single"/>
              <w:bottom w:color="000000" w:sz="4" w:val="single"/>
              <w:right w:color="000000" w:sz="4" w:val="single"/>
            </w:tcBorders>
          </w:tcPr>
          <w:p w14:paraId="DD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DE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DF010000">
            <w:pPr>
              <w:spacing w:line="240" w:lineRule="auto"/>
              <w:ind/>
              <w:rPr>
                <w:rFonts w:ascii="Times New Roman" w:hAnsi="Times New Roman"/>
                <w:sz w:val="24"/>
              </w:rPr>
            </w:pPr>
            <w:r>
              <w:rPr>
                <w:rFonts w:ascii="Times New Roman" w:hAnsi="Times New Roman"/>
                <w:sz w:val="24"/>
              </w:rPr>
              <w:t>2</w:t>
            </w:r>
          </w:p>
        </w:tc>
        <w:tc>
          <w:tcPr>
            <w:tcW w:type="dxa" w:w="7278"/>
            <w:tcBorders>
              <w:top w:color="000000" w:sz="4" w:val="single"/>
              <w:left w:color="000000" w:sz="4" w:val="single"/>
              <w:bottom w:color="000000" w:sz="4" w:val="single"/>
              <w:right w:color="000000" w:sz="4" w:val="single"/>
            </w:tcBorders>
          </w:tcPr>
          <w:p w14:paraId="E0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E1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E2010000">
            <w:pPr>
              <w:spacing w:line="240" w:lineRule="auto"/>
              <w:ind/>
              <w:rPr>
                <w:rFonts w:ascii="Times New Roman" w:hAnsi="Times New Roman"/>
                <w:sz w:val="24"/>
              </w:rPr>
            </w:pPr>
            <w:r>
              <w:rPr>
                <w:rFonts w:ascii="Times New Roman" w:hAnsi="Times New Roman"/>
                <w:sz w:val="24"/>
              </w:rPr>
              <w:t>3</w:t>
            </w:r>
          </w:p>
        </w:tc>
        <w:tc>
          <w:tcPr>
            <w:tcW w:type="dxa" w:w="7278"/>
            <w:tcBorders>
              <w:top w:color="000000" w:sz="4" w:val="single"/>
              <w:left w:color="000000" w:sz="4" w:val="single"/>
              <w:bottom w:color="000000" w:sz="4" w:val="single"/>
              <w:right w:color="000000" w:sz="4" w:val="single"/>
            </w:tcBorders>
          </w:tcPr>
          <w:p w14:paraId="E3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E4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E5010000">
            <w:pPr>
              <w:spacing w:line="240" w:lineRule="auto"/>
              <w:ind/>
              <w:rPr>
                <w:rFonts w:ascii="Times New Roman" w:hAnsi="Times New Roman"/>
                <w:sz w:val="24"/>
              </w:rPr>
            </w:pPr>
            <w:r>
              <w:rPr>
                <w:rFonts w:ascii="Times New Roman" w:hAnsi="Times New Roman"/>
                <w:sz w:val="24"/>
              </w:rPr>
              <w:t>4</w:t>
            </w:r>
          </w:p>
        </w:tc>
        <w:tc>
          <w:tcPr>
            <w:tcW w:type="dxa" w:w="7278"/>
            <w:tcBorders>
              <w:top w:color="000000" w:sz="4" w:val="single"/>
              <w:left w:color="000000" w:sz="4" w:val="single"/>
              <w:bottom w:color="000000" w:sz="4" w:val="single"/>
              <w:right w:color="000000" w:sz="4" w:val="single"/>
            </w:tcBorders>
          </w:tcPr>
          <w:p w14:paraId="E6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E7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E8010000">
            <w:pPr>
              <w:spacing w:line="240" w:lineRule="auto"/>
              <w:ind/>
              <w:rPr>
                <w:rFonts w:ascii="Times New Roman" w:hAnsi="Times New Roman"/>
                <w:sz w:val="24"/>
              </w:rPr>
            </w:pPr>
            <w:r>
              <w:rPr>
                <w:rFonts w:ascii="Times New Roman" w:hAnsi="Times New Roman"/>
                <w:sz w:val="24"/>
              </w:rPr>
              <w:t>5</w:t>
            </w:r>
          </w:p>
        </w:tc>
        <w:tc>
          <w:tcPr>
            <w:tcW w:type="dxa" w:w="7278"/>
            <w:tcBorders>
              <w:top w:color="000000" w:sz="4" w:val="single"/>
              <w:left w:color="000000" w:sz="4" w:val="single"/>
              <w:bottom w:color="000000" w:sz="4" w:val="single"/>
              <w:right w:color="000000" w:sz="4" w:val="single"/>
            </w:tcBorders>
          </w:tcPr>
          <w:p w14:paraId="E9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EA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EB010000">
            <w:pPr>
              <w:spacing w:line="240" w:lineRule="auto"/>
              <w:ind/>
              <w:rPr>
                <w:rFonts w:ascii="Times New Roman" w:hAnsi="Times New Roman"/>
                <w:sz w:val="24"/>
              </w:rPr>
            </w:pPr>
            <w:r>
              <w:rPr>
                <w:rFonts w:ascii="Times New Roman" w:hAnsi="Times New Roman"/>
                <w:sz w:val="24"/>
              </w:rPr>
              <w:t>6</w:t>
            </w:r>
          </w:p>
        </w:tc>
        <w:tc>
          <w:tcPr>
            <w:tcW w:type="dxa" w:w="7278"/>
            <w:tcBorders>
              <w:top w:color="000000" w:sz="4" w:val="single"/>
              <w:left w:color="000000" w:sz="4" w:val="single"/>
              <w:bottom w:color="000000" w:sz="4" w:val="single"/>
              <w:right w:color="000000" w:sz="4" w:val="single"/>
            </w:tcBorders>
          </w:tcPr>
          <w:p w14:paraId="EC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ED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EE010000">
            <w:pPr>
              <w:spacing w:line="240" w:lineRule="auto"/>
              <w:ind/>
              <w:rPr>
                <w:rFonts w:ascii="Times New Roman" w:hAnsi="Times New Roman"/>
                <w:sz w:val="24"/>
              </w:rPr>
            </w:pPr>
            <w:r>
              <w:rPr>
                <w:rFonts w:ascii="Times New Roman" w:hAnsi="Times New Roman"/>
                <w:sz w:val="24"/>
              </w:rPr>
              <w:t>7</w:t>
            </w:r>
          </w:p>
        </w:tc>
        <w:tc>
          <w:tcPr>
            <w:tcW w:type="dxa" w:w="7278"/>
            <w:tcBorders>
              <w:top w:color="000000" w:sz="4" w:val="single"/>
              <w:left w:color="000000" w:sz="4" w:val="single"/>
              <w:bottom w:color="000000" w:sz="4" w:val="single"/>
              <w:right w:color="000000" w:sz="4" w:val="single"/>
            </w:tcBorders>
          </w:tcPr>
          <w:p w14:paraId="EF010000">
            <w:pPr>
              <w:spacing w:line="240" w:lineRule="auto"/>
              <w:ind/>
              <w:jc w:val="both"/>
              <w:rPr>
                <w:rFonts w:ascii="Times New Roman" w:hAnsi="Times New Roman"/>
                <w:sz w:val="24"/>
              </w:rPr>
            </w:pPr>
          </w:p>
        </w:tc>
        <w:tc>
          <w:tcPr>
            <w:tcW w:type="dxa" w:w="1617"/>
            <w:tcBorders>
              <w:top w:color="000000" w:sz="4" w:val="single"/>
              <w:left w:color="000000" w:sz="4" w:val="single"/>
              <w:bottom w:color="000000" w:sz="4" w:val="single"/>
              <w:right w:color="000000" w:sz="4" w:val="single"/>
            </w:tcBorders>
          </w:tcPr>
          <w:p w14:paraId="F0010000">
            <w:pPr>
              <w:spacing w:line="240" w:lineRule="auto"/>
              <w:ind/>
              <w:rPr>
                <w:rFonts w:ascii="Times New Roman" w:hAnsi="Times New Roman"/>
                <w:sz w:val="24"/>
              </w:rPr>
            </w:pPr>
          </w:p>
        </w:tc>
      </w:tr>
      <w:tr>
        <w:tc>
          <w:tcPr>
            <w:tcW w:type="dxa" w:w="675"/>
            <w:tcBorders>
              <w:top w:color="000000" w:sz="4" w:val="single"/>
              <w:left w:color="000000" w:sz="4" w:val="single"/>
              <w:bottom w:color="000000" w:sz="4" w:val="single"/>
              <w:right w:color="000000" w:sz="4" w:val="single"/>
            </w:tcBorders>
          </w:tcPr>
          <w:p w14:paraId="F1010000">
            <w:pPr>
              <w:spacing w:line="240" w:lineRule="auto"/>
              <w:ind/>
              <w:rPr>
                <w:rFonts w:ascii="Times New Roman" w:hAnsi="Times New Roman"/>
                <w:sz w:val="24"/>
              </w:rPr>
            </w:pPr>
          </w:p>
        </w:tc>
        <w:tc>
          <w:tcPr>
            <w:tcW w:type="dxa" w:w="7278"/>
            <w:tcBorders>
              <w:top w:color="000000" w:sz="4" w:val="single"/>
              <w:left w:color="000000" w:sz="4" w:val="single"/>
              <w:bottom w:color="000000" w:sz="4" w:val="single"/>
              <w:right w:color="000000" w:sz="4" w:val="single"/>
            </w:tcBorders>
          </w:tcPr>
          <w:p w14:paraId="F2010000">
            <w:pPr>
              <w:spacing w:line="240" w:lineRule="auto"/>
              <w:ind/>
              <w:jc w:val="both"/>
              <w:rPr>
                <w:rFonts w:ascii="Times New Roman" w:hAnsi="Times New Roman"/>
                <w:sz w:val="24"/>
              </w:rPr>
            </w:pPr>
            <w:r>
              <w:rPr>
                <w:rFonts w:ascii="Times New Roman" w:hAnsi="Times New Roman"/>
                <w:sz w:val="24"/>
              </w:rPr>
              <w:t xml:space="preserve">Всего листов </w:t>
            </w:r>
          </w:p>
        </w:tc>
        <w:tc>
          <w:tcPr>
            <w:tcW w:type="dxa" w:w="1617"/>
            <w:tcBorders>
              <w:top w:color="000000" w:sz="4" w:val="single"/>
              <w:left w:color="000000" w:sz="4" w:val="single"/>
              <w:bottom w:color="000000" w:sz="4" w:val="single"/>
              <w:right w:color="000000" w:sz="4" w:val="single"/>
            </w:tcBorders>
          </w:tcPr>
          <w:p w14:paraId="F3010000">
            <w:pPr>
              <w:spacing w:line="240" w:lineRule="auto"/>
              <w:ind/>
              <w:rPr>
                <w:rFonts w:ascii="Times New Roman" w:hAnsi="Times New Roman"/>
                <w:sz w:val="24"/>
              </w:rPr>
            </w:pPr>
          </w:p>
        </w:tc>
      </w:tr>
    </w:tbl>
    <w:p w14:paraId="F4010000">
      <w:pPr>
        <w:spacing w:after="0" w:line="240" w:lineRule="auto"/>
        <w:ind/>
        <w:rPr>
          <w:rFonts w:ascii="Times New Roman" w:hAnsi="Times New Roman"/>
          <w:sz w:val="24"/>
        </w:rPr>
      </w:pPr>
    </w:p>
    <w:p w14:paraId="F5010000">
      <w:pPr>
        <w:widowControl w:val="0"/>
        <w:spacing w:after="0" w:line="240" w:lineRule="auto"/>
        <w:ind/>
        <w:jc w:val="both"/>
        <w:rPr>
          <w:rFonts w:ascii="Times New Roman" w:hAnsi="Times New Roman"/>
          <w:color w:themeColor="text1" w:val="000000"/>
          <w:sz w:val="20"/>
        </w:rPr>
      </w:pPr>
    </w:p>
    <w:p w14:paraId="F6010000">
      <w:pPr>
        <w:widowControl w:val="0"/>
        <w:spacing w:after="0" w:line="240" w:lineRule="auto"/>
        <w:ind/>
        <w:jc w:val="both"/>
        <w:rPr>
          <w:rFonts w:ascii="Times New Roman" w:hAnsi="Times New Roman"/>
          <w:color w:themeColor="text1" w:val="000000"/>
          <w:sz w:val="16"/>
        </w:rPr>
      </w:pPr>
      <w:r>
        <w:rPr>
          <w:rFonts w:ascii="Times New Roman" w:hAnsi="Times New Roman"/>
          <w:color w:themeColor="text1" w:val="000000"/>
          <w:sz w:val="20"/>
        </w:rPr>
        <w:t>Дата регистрации заявки «_____»__________20____  г.         Рег.  №_______</w:t>
      </w:r>
    </w:p>
    <w:p w14:paraId="F7010000">
      <w:pPr>
        <w:widowControl w:val="0"/>
        <w:spacing w:after="0" w:line="240" w:lineRule="auto"/>
        <w:ind/>
        <w:rPr>
          <w:rFonts w:ascii="Times New Roman" w:hAnsi="Times New Roman"/>
          <w:color w:themeColor="text1" w:val="000000"/>
          <w:sz w:val="20"/>
        </w:rPr>
      </w:pPr>
      <w:r>
        <w:rPr>
          <w:rFonts w:ascii="Times New Roman" w:hAnsi="Times New Roman"/>
          <w:color w:themeColor="text1" w:val="000000"/>
          <w:sz w:val="20"/>
        </w:rPr>
        <w:t>(заполняется должностным лицом, принявшим заявку)</w:t>
      </w:r>
    </w:p>
    <w:p w14:paraId="F8010000">
      <w:pPr>
        <w:widowControl w:val="0"/>
        <w:spacing w:after="0" w:line="240" w:lineRule="auto"/>
        <w:ind/>
        <w:jc w:val="center"/>
        <w:rPr>
          <w:rFonts w:ascii="Times New Roman" w:hAnsi="Times New Roman"/>
          <w:color w:themeColor="text1" w:val="000000"/>
          <w:sz w:val="20"/>
        </w:rPr>
      </w:pPr>
    </w:p>
    <w:p w14:paraId="F9010000">
      <w:pPr>
        <w:widowControl w:val="0"/>
        <w:spacing w:after="0" w:line="240" w:lineRule="auto"/>
        <w:ind/>
        <w:jc w:val="both"/>
        <w:rPr>
          <w:rFonts w:ascii="Times New Roman" w:hAnsi="Times New Roman"/>
          <w:color w:themeColor="text1" w:val="000000"/>
          <w:sz w:val="20"/>
        </w:rPr>
      </w:pPr>
      <w:r>
        <w:rPr>
          <w:rFonts w:ascii="Times New Roman" w:hAnsi="Times New Roman"/>
          <w:color w:themeColor="text1" w:val="000000"/>
          <w:sz w:val="20"/>
        </w:rPr>
        <w:t>______________                                        ____________________                              ___________________</w:t>
      </w:r>
    </w:p>
    <w:p w14:paraId="FA010000">
      <w:pPr>
        <w:widowControl w:val="0"/>
        <w:spacing w:after="0" w:line="240" w:lineRule="auto"/>
        <w:ind/>
        <w:jc w:val="both"/>
        <w:rPr>
          <w:rFonts w:ascii="Times New Roman" w:hAnsi="Times New Roman"/>
          <w:color w:themeColor="text1" w:val="000000"/>
          <w:sz w:val="20"/>
        </w:rPr>
      </w:pPr>
      <w:r>
        <w:rPr>
          <w:rFonts w:ascii="Times New Roman" w:hAnsi="Times New Roman"/>
          <w:color w:themeColor="text1" w:val="000000"/>
          <w:sz w:val="20"/>
        </w:rPr>
        <w:t xml:space="preserve">     (должность)                                                        (подпись)                                                 (Ф.И.О.)</w:t>
      </w:r>
      <w:r>
        <w:rPr>
          <w:rFonts w:ascii="Times New Roman" w:hAnsi="Times New Roman"/>
          <w:color w:themeColor="text1" w:val="000000"/>
          <w:sz w:val="24"/>
        </w:rPr>
        <w:t xml:space="preserve">         </w:t>
      </w:r>
    </w:p>
    <w:p w14:paraId="FB010000">
      <w:pPr>
        <w:widowControl w:val="0"/>
        <w:spacing w:after="0" w:line="240" w:lineRule="auto"/>
        <w:ind/>
        <w:jc w:val="both"/>
        <w:rPr>
          <w:rFonts w:ascii="Times New Roman" w:hAnsi="Times New Roman"/>
          <w:sz w:val="20"/>
        </w:rPr>
      </w:pPr>
    </w:p>
    <w:p w14:paraId="FC010000">
      <w:pPr>
        <w:widowControl w:val="0"/>
        <w:spacing w:after="0" w:line="240" w:lineRule="auto"/>
        <w:ind/>
        <w:jc w:val="both"/>
        <w:rPr>
          <w:rFonts w:ascii="Times New Roman" w:hAnsi="Times New Roman"/>
          <w:sz w:val="20"/>
        </w:rPr>
      </w:pPr>
    </w:p>
    <w:p w14:paraId="FD010000">
      <w:pPr>
        <w:spacing w:after="0" w:line="240" w:lineRule="auto"/>
        <w:ind/>
        <w:rPr>
          <w:rFonts w:ascii="Times New Roman" w:hAnsi="Times New Roman"/>
          <w:sz w:val="20"/>
        </w:rPr>
      </w:pPr>
      <w:r>
        <w:rPr>
          <w:rFonts w:ascii="Times New Roman" w:hAnsi="Times New Roman"/>
          <w:sz w:val="20"/>
        </w:rPr>
        <w:t>Копия описи вручена                               _____________________                            ___________________</w:t>
      </w:r>
    </w:p>
    <w:p w14:paraId="FE010000">
      <w:pPr>
        <w:widowControl w:val="0"/>
        <w:spacing w:after="0" w:line="240" w:lineRule="auto"/>
        <w:ind/>
        <w:jc w:val="both"/>
        <w:rPr>
          <w:rFonts w:ascii="Times New Roman" w:hAnsi="Times New Roman"/>
          <w:sz w:val="28"/>
        </w:rPr>
      </w:pPr>
      <w:r>
        <w:rPr>
          <w:rFonts w:ascii="Times New Roman" w:hAnsi="Times New Roman"/>
          <w:sz w:val="20"/>
        </w:rPr>
        <w:tab/>
      </w:r>
      <w:r>
        <w:rPr>
          <w:rFonts w:ascii="Times New Roman" w:hAnsi="Times New Roman"/>
          <w:i w:val="1"/>
          <w:sz w:val="20"/>
        </w:rPr>
        <w:t xml:space="preserve">                        </w:t>
      </w:r>
      <w:r>
        <w:rPr>
          <w:rFonts w:ascii="Times New Roman" w:hAnsi="Times New Roman"/>
          <w:i w:val="1"/>
          <w:sz w:val="20"/>
        </w:rPr>
        <w:tab/>
      </w:r>
      <w:r>
        <w:rPr>
          <w:rFonts w:ascii="Times New Roman" w:hAnsi="Times New Roman"/>
          <w:i w:val="1"/>
          <w:sz w:val="20"/>
        </w:rPr>
        <w:tab/>
      </w:r>
      <w:r>
        <w:rPr>
          <w:rFonts w:ascii="Times New Roman" w:hAnsi="Times New Roman"/>
          <w:i w:val="1"/>
          <w:sz w:val="20"/>
        </w:rPr>
        <w:tab/>
      </w:r>
      <w:r>
        <w:rPr>
          <w:rFonts w:ascii="Times New Roman" w:hAnsi="Times New Roman"/>
          <w:i w:val="1"/>
          <w:sz w:val="20"/>
        </w:rPr>
        <w:tab/>
      </w:r>
      <w:r>
        <w:rPr>
          <w:rFonts w:ascii="Times New Roman" w:hAnsi="Times New Roman"/>
          <w:i w:val="1"/>
          <w:sz w:val="20"/>
        </w:rPr>
        <w:t xml:space="preserve"> </w:t>
      </w:r>
      <w:r>
        <w:rPr>
          <w:rFonts w:ascii="Times New Roman" w:hAnsi="Times New Roman"/>
          <w:color w:themeColor="text1" w:val="000000"/>
          <w:sz w:val="20"/>
        </w:rPr>
        <w:t>(подпись)                                                  (Ф.И.О.)</w:t>
      </w:r>
    </w:p>
    <w:p w14:paraId="FF010000">
      <w:pPr>
        <w:spacing w:after="0" w:line="240" w:lineRule="auto"/>
        <w:ind/>
        <w:rPr>
          <w:rFonts w:ascii="Times New Roman" w:hAnsi="Times New Roman"/>
          <w:sz w:val="24"/>
        </w:rPr>
      </w:pPr>
    </w:p>
    <w:p w14:paraId="00020000">
      <w:pPr>
        <w:spacing w:after="0" w:line="240" w:lineRule="auto"/>
        <w:ind/>
        <w:rPr>
          <w:rFonts w:ascii="Times New Roman" w:hAnsi="Times New Roman"/>
          <w:sz w:val="24"/>
        </w:rPr>
      </w:pPr>
    </w:p>
    <w:p w14:paraId="01020000">
      <w:pPr>
        <w:widowControl w:val="0"/>
        <w:spacing w:after="0" w:line="240" w:lineRule="auto"/>
        <w:ind/>
        <w:jc w:val="right"/>
        <w:rPr>
          <w:rFonts w:ascii="Times New Roman" w:hAnsi="Times New Roman"/>
          <w:sz w:val="28"/>
        </w:rPr>
      </w:pPr>
    </w:p>
    <w:p w14:paraId="02020000">
      <w:pPr>
        <w:spacing w:after="0" w:line="240" w:lineRule="auto"/>
        <w:ind/>
        <w:jc w:val="right"/>
      </w:pPr>
    </w:p>
    <w:sectPr>
      <w:headerReference r:id="rId1" w:type="default"/>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p>
  <w:p w14:paraId="05000000">
    <w:pPr>
      <w:pStyle w:val="Style_1"/>
      <w:ind/>
      <w:jc w:val="center"/>
    </w:pPr>
    <w:r>
      <w:fldChar w:fldCharType="begin"/>
    </w:r>
    <w:r>
      <w:instrText xml:space="preserve">PAGE </w:instrText>
    </w:r>
    <w:r>
      <w:fldChar w:fldCharType="separate"/>
    </w:r>
    <w:r>
      <w:t xml:space="preserve"> </w:t>
    </w:r>
    <w:r>
      <w:fldChar w:fldCharType="end"/>
    </w:r>
  </w:p>
  <w:p w14:paraId="06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center"/>
    </w:pPr>
  </w:p>
  <w:p w14:paraId="08000000">
    <w:pPr>
      <w:pStyle w:val="Style_1"/>
      <w:ind/>
      <w:jc w:val="center"/>
    </w:pPr>
    <w:r>
      <w:fldChar w:fldCharType="begin"/>
    </w:r>
    <w:r>
      <w:instrText xml:space="preserve">PAGE </w:instrText>
    </w:r>
    <w:r>
      <w:fldChar w:fldCharType="separate"/>
    </w:r>
    <w:r>
      <w:t xml:space="preserve"> </w:t>
    </w:r>
    <w:r>
      <w:fldChar w:fldCharType="end"/>
    </w:r>
  </w:p>
  <w:p w14:paraId="09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A000000">
    <w:pPr>
      <w:pStyle w:val="Style_1"/>
      <w:ind/>
      <w:jc w:val="center"/>
    </w:pPr>
  </w:p>
  <w:p w14:paraId="0B000000">
    <w:pPr>
      <w:pStyle w:val="Style_1"/>
      <w:ind/>
      <w:jc w:val="center"/>
    </w:pPr>
    <w:r>
      <w:fldChar w:fldCharType="begin"/>
    </w:r>
    <w:r>
      <w:instrText xml:space="preserve">PAGE </w:instrText>
    </w:r>
    <w:r>
      <w:fldChar w:fldCharType="separate"/>
    </w:r>
    <w:r>
      <w:t xml:space="preserve"> </w:t>
    </w:r>
    <w:r>
      <w:fldChar w:fldCharType="end"/>
    </w:r>
  </w:p>
  <w:p w14:paraId="0C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ind/>
      <w:jc w:val="center"/>
    </w:pPr>
  </w:p>
  <w:p w14:paraId="0E000000">
    <w:pPr>
      <w:pStyle w:val="Style_1"/>
      <w:ind/>
      <w:jc w:val="center"/>
    </w:pPr>
    <w:r>
      <w:fldChar w:fldCharType="begin"/>
    </w:r>
    <w:r>
      <w:instrText xml:space="preserve">PAGE </w:instrText>
    </w:r>
    <w:r>
      <w:fldChar w:fldCharType="separate"/>
    </w:r>
    <w:r>
      <w:t xml:space="preserve"> </w:t>
    </w:r>
    <w:r>
      <w:fldChar w:fldCharType="end"/>
    </w:r>
  </w:p>
  <w:p w14:paraId="0F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450" w:left="450"/>
      </w:pPr>
    </w:lvl>
    <w:lvl w:ilvl="1">
      <w:start w:val="1"/>
      <w:numFmt w:val="decimal"/>
      <w:lvlText w:val="%1.%2."/>
      <w:lvlJc w:val="left"/>
      <w:pPr>
        <w:ind w:hanging="720" w:left="1288"/>
      </w:pPr>
    </w:lvl>
    <w:lvl w:ilvl="2">
      <w:start w:val="1"/>
      <w:numFmt w:val="decimal"/>
      <w:lvlText w:val="%1.%2.%3."/>
      <w:lvlJc w:val="left"/>
      <w:pPr>
        <w:ind w:hanging="720" w:left="2422"/>
      </w:pPr>
    </w:lvl>
    <w:lvl w:ilvl="3">
      <w:start w:val="1"/>
      <w:numFmt w:val="decimal"/>
      <w:lvlText w:val="%1.%2.%3.%4."/>
      <w:lvlJc w:val="left"/>
      <w:pPr>
        <w:ind w:hanging="1080" w:left="3633"/>
      </w:pPr>
    </w:lvl>
    <w:lvl w:ilvl="4">
      <w:start w:val="1"/>
      <w:numFmt w:val="decimal"/>
      <w:lvlText w:val="%1.%2.%3.%4.%5."/>
      <w:lvlJc w:val="left"/>
      <w:pPr>
        <w:ind w:hanging="1080" w:left="4484"/>
      </w:pPr>
    </w:lvl>
    <w:lvl w:ilvl="5">
      <w:start w:val="1"/>
      <w:numFmt w:val="decimal"/>
      <w:lvlText w:val="%1.%2.%3.%4.%5.%6."/>
      <w:lvlJc w:val="left"/>
      <w:pPr>
        <w:ind w:hanging="1440" w:left="5695"/>
      </w:pPr>
    </w:lvl>
    <w:lvl w:ilvl="6">
      <w:start w:val="1"/>
      <w:numFmt w:val="decimal"/>
      <w:lvlText w:val="%1.%2.%3.%4.%5.%6.%7."/>
      <w:lvlJc w:val="left"/>
      <w:pPr>
        <w:ind w:hanging="1800" w:left="6906"/>
      </w:pPr>
    </w:lvl>
    <w:lvl w:ilvl="7">
      <w:start w:val="1"/>
      <w:numFmt w:val="decimal"/>
      <w:lvlText w:val="%1.%2.%3.%4.%5.%6.%7.%8."/>
      <w:lvlJc w:val="left"/>
      <w:pPr>
        <w:ind w:hanging="1800" w:left="7757"/>
      </w:pPr>
    </w:lvl>
    <w:lvl w:ilvl="8">
      <w:start w:val="1"/>
      <w:numFmt w:val="decimal"/>
      <w:lvlText w:val="%1.%2.%3.%4.%5.%6.%7.%8.%9."/>
      <w:lvlJc w:val="left"/>
      <w:pPr>
        <w:ind w:hanging="2160" w:left="8968"/>
      </w:p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9" w:type="paragraph">
    <w:name w:val="toc 2"/>
    <w:next w:val="Style_8"/>
    <w:link w:val="Style_9_ch"/>
    <w:uiPriority w:val="39"/>
    <w:pPr>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toc 4"/>
    <w:next w:val="Style_8"/>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8"/>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8"/>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basedOn w:val="Style_8"/>
    <w:next w:val="Style_8"/>
    <w:link w:val="Style_14_ch"/>
    <w:uiPriority w:val="9"/>
    <w:qFormat/>
    <w:pPr>
      <w:keepNext w:val="1"/>
      <w:spacing w:after="0" w:line="240" w:lineRule="auto"/>
      <w:ind w:firstLine="0" w:left="-993" w:right="-766"/>
      <w:outlineLvl w:val="2"/>
    </w:pPr>
    <w:rPr>
      <w:rFonts w:ascii="Times New Roman" w:hAnsi="Times New Roman"/>
      <w:b w:val="1"/>
      <w:sz w:val="56"/>
    </w:rPr>
  </w:style>
  <w:style w:styleId="Style_14_ch" w:type="character">
    <w:name w:val="heading 3"/>
    <w:basedOn w:val="Style_8_ch"/>
    <w:link w:val="Style_14"/>
    <w:rPr>
      <w:rFonts w:ascii="Times New Roman" w:hAnsi="Times New Roman"/>
      <w:b w:val="1"/>
      <w:sz w:val="56"/>
    </w:rPr>
  </w:style>
  <w:style w:styleId="Style_15" w:type="paragraph">
    <w:name w:val="Default Paragraph Font"/>
    <w:link w:val="Style_15_ch"/>
  </w:style>
  <w:style w:styleId="Style_15_ch" w:type="character">
    <w:name w:val="Default Paragraph Font"/>
    <w:link w:val="Style_15"/>
  </w:style>
  <w:style w:styleId="Style_1" w:type="paragraph">
    <w:name w:val="header"/>
    <w:basedOn w:val="Style_8"/>
    <w:link w:val="Style_1_ch"/>
    <w:pPr>
      <w:tabs>
        <w:tab w:leader="none" w:pos="4677" w:val="center"/>
        <w:tab w:leader="none" w:pos="9355" w:val="right"/>
      </w:tabs>
      <w:spacing w:after="0" w:line="240" w:lineRule="auto"/>
      <w:ind/>
    </w:pPr>
    <w:rPr>
      <w:rFonts w:ascii="Times New Roman" w:hAnsi="Times New Roman"/>
      <w:sz w:val="24"/>
    </w:rPr>
  </w:style>
  <w:style w:styleId="Style_1_ch" w:type="character">
    <w:name w:val="header"/>
    <w:basedOn w:val="Style_8_ch"/>
    <w:link w:val="Style_1"/>
    <w:rPr>
      <w:rFonts w:ascii="Times New Roman" w:hAnsi="Times New Roman"/>
      <w:sz w:val="24"/>
    </w:rPr>
  </w:style>
  <w:style w:styleId="Style_16" w:type="paragraph">
    <w:name w:val="Гипертекстовая ссылка"/>
    <w:link w:val="Style_16_ch"/>
    <w:rPr>
      <w:b w:val="0"/>
      <w:color w:val="106BBE"/>
    </w:rPr>
  </w:style>
  <w:style w:styleId="Style_16_ch" w:type="character">
    <w:name w:val="Гипертекстовая ссылка"/>
    <w:link w:val="Style_16"/>
    <w:rPr>
      <w:b w:val="0"/>
      <w:color w:val="106BBE"/>
    </w:rPr>
  </w:style>
  <w:style w:styleId="Style_17" w:type="paragraph">
    <w:name w:val="toc 3"/>
    <w:next w:val="Style_8"/>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5" w:type="paragraph">
    <w:name w:val="ConsPlusNormal"/>
    <w:link w:val="Style_5_ch"/>
    <w:pPr>
      <w:widowControl w:val="0"/>
      <w:spacing w:after="0" w:line="240" w:lineRule="auto"/>
      <w:ind w:firstLine="720" w:left="0"/>
    </w:pPr>
    <w:rPr>
      <w:rFonts w:ascii="Arial" w:hAnsi="Arial"/>
      <w:sz w:val="20"/>
    </w:rPr>
  </w:style>
  <w:style w:styleId="Style_5_ch" w:type="character">
    <w:name w:val="ConsPlusNormal"/>
    <w:link w:val="Style_5"/>
    <w:rPr>
      <w:rFonts w:ascii="Arial" w:hAnsi="Arial"/>
      <w:sz w:val="20"/>
    </w:rPr>
  </w:style>
  <w:style w:styleId="Style_18" w:type="paragraph">
    <w:name w:val="ConsPlusNonformat"/>
    <w:link w:val="Style_18_ch"/>
    <w:pPr>
      <w:spacing w:after="0" w:line="240" w:lineRule="auto"/>
      <w:ind/>
    </w:pPr>
    <w:rPr>
      <w:rFonts w:ascii="Courier New" w:hAnsi="Courier New"/>
      <w:sz w:val="20"/>
    </w:rPr>
  </w:style>
  <w:style w:styleId="Style_18_ch" w:type="character">
    <w:name w:val="ConsPlusNonformat"/>
    <w:link w:val="Style_18"/>
    <w:rPr>
      <w:rFonts w:ascii="Courier New" w:hAnsi="Courier New"/>
      <w:sz w:val="20"/>
    </w:rPr>
  </w:style>
  <w:style w:styleId="Style_19" w:type="paragraph">
    <w:name w:val="heading 5"/>
    <w:next w:val="Style_8"/>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Balloon Text"/>
    <w:basedOn w:val="Style_8"/>
    <w:link w:val="Style_20_ch"/>
    <w:pPr>
      <w:spacing w:after="0" w:line="240" w:lineRule="auto"/>
      <w:ind/>
    </w:pPr>
    <w:rPr>
      <w:rFonts w:ascii="Tahoma" w:hAnsi="Tahoma"/>
      <w:sz w:val="16"/>
    </w:rPr>
  </w:style>
  <w:style w:styleId="Style_20_ch" w:type="character">
    <w:name w:val="Balloon Text"/>
    <w:basedOn w:val="Style_8_ch"/>
    <w:link w:val="Style_20"/>
    <w:rPr>
      <w:rFonts w:ascii="Tahoma" w:hAnsi="Tahoma"/>
      <w:sz w:val="16"/>
    </w:rPr>
  </w:style>
  <w:style w:styleId="Style_21" w:type="paragraph">
    <w:name w:val="heading 1"/>
    <w:basedOn w:val="Style_8"/>
    <w:next w:val="Style_8"/>
    <w:link w:val="Style_21_ch"/>
    <w:uiPriority w:val="9"/>
    <w:qFormat/>
    <w:pPr>
      <w:keepNext w:val="1"/>
      <w:keepLines w:val="1"/>
      <w:spacing w:after="0" w:before="480"/>
      <w:ind/>
      <w:outlineLvl w:val="0"/>
    </w:pPr>
    <w:rPr>
      <w:rFonts w:asciiTheme="majorAscii" w:hAnsiTheme="majorHAnsi"/>
      <w:b w:val="1"/>
      <w:color w:themeColor="accent1" w:themeShade="BF" w:val="376092"/>
      <w:sz w:val="28"/>
    </w:rPr>
  </w:style>
  <w:style w:styleId="Style_21_ch" w:type="character">
    <w:name w:val="heading 1"/>
    <w:basedOn w:val="Style_8_ch"/>
    <w:link w:val="Style_21"/>
    <w:rPr>
      <w:rFonts w:asciiTheme="majorAscii" w:hAnsiTheme="majorHAnsi"/>
      <w:b w:val="1"/>
      <w:color w:themeColor="accent1" w:themeShade="BF" w:val="376092"/>
      <w:sz w:val="28"/>
    </w:rPr>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8"/>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Body Text Indent"/>
    <w:basedOn w:val="Style_8"/>
    <w:link w:val="Style_24_ch"/>
    <w:pPr>
      <w:widowControl w:val="0"/>
      <w:spacing w:after="0" w:line="240" w:lineRule="auto"/>
      <w:ind/>
      <w:jc w:val="both"/>
    </w:pPr>
    <w:rPr>
      <w:rFonts w:ascii="Times New Roman" w:hAnsi="Times New Roman"/>
      <w:i w:val="1"/>
      <w:sz w:val="24"/>
    </w:rPr>
  </w:style>
  <w:style w:styleId="Style_24_ch" w:type="character">
    <w:name w:val="Body Text Indent"/>
    <w:basedOn w:val="Style_8_ch"/>
    <w:link w:val="Style_24"/>
    <w:rPr>
      <w:rFonts w:ascii="Times New Roman" w:hAnsi="Times New Roman"/>
      <w:i w:val="1"/>
      <w:sz w:val="24"/>
    </w:rPr>
  </w:style>
  <w:style w:styleId="Style_25" w:type="paragraph">
    <w:name w:val="Header and Footer"/>
    <w:link w:val="Style_25_ch"/>
    <w:pPr>
      <w:spacing w:line="240" w:lineRule="auto"/>
      <w:ind/>
      <w:jc w:val="both"/>
    </w:pPr>
    <w:rPr>
      <w:rFonts w:ascii="XO Thames" w:hAnsi="XO Thames"/>
      <w:sz w:val="28"/>
    </w:rPr>
  </w:style>
  <w:style w:styleId="Style_25_ch" w:type="character">
    <w:name w:val="Header and Footer"/>
    <w:link w:val="Style_25"/>
    <w:rPr>
      <w:rFonts w:ascii="XO Thames" w:hAnsi="XO Thames"/>
      <w:sz w:val="28"/>
    </w:rPr>
  </w:style>
  <w:style w:styleId="Style_26" w:type="paragraph">
    <w:name w:val="toc 9"/>
    <w:next w:val="Style_8"/>
    <w:link w:val="Style_26_ch"/>
    <w:uiPriority w:val="39"/>
    <w:pPr>
      <w:ind w:firstLine="0" w:left="1600"/>
      <w:jc w:val="left"/>
    </w:pPr>
    <w:rPr>
      <w:rFonts w:ascii="XO Thames" w:hAnsi="XO Thames"/>
      <w:sz w:val="28"/>
    </w:rPr>
  </w:style>
  <w:style w:styleId="Style_26_ch" w:type="character">
    <w:name w:val="toc 9"/>
    <w:link w:val="Style_26"/>
    <w:rPr>
      <w:rFonts w:ascii="XO Thames" w:hAnsi="XO Thames"/>
      <w:sz w:val="28"/>
    </w:rPr>
  </w:style>
  <w:style w:styleId="Style_27" w:type="paragraph">
    <w:name w:val="footer"/>
    <w:basedOn w:val="Style_8"/>
    <w:link w:val="Style_27_ch"/>
    <w:pPr>
      <w:tabs>
        <w:tab w:leader="none" w:pos="4677" w:val="center"/>
        <w:tab w:leader="none" w:pos="9355" w:val="right"/>
      </w:tabs>
      <w:spacing w:after="0" w:line="240" w:lineRule="auto"/>
      <w:ind/>
    </w:pPr>
    <w:rPr>
      <w:rFonts w:ascii="Times New Roman" w:hAnsi="Times New Roman"/>
      <w:sz w:val="24"/>
    </w:rPr>
  </w:style>
  <w:style w:styleId="Style_27_ch" w:type="character">
    <w:name w:val="footer"/>
    <w:basedOn w:val="Style_8_ch"/>
    <w:link w:val="Style_27"/>
    <w:rPr>
      <w:rFonts w:ascii="Times New Roman" w:hAnsi="Times New Roman"/>
      <w:sz w:val="24"/>
    </w:rPr>
  </w:style>
  <w:style w:styleId="Style_28" w:type="paragraph">
    <w:name w:val="toc 8"/>
    <w:next w:val="Style_8"/>
    <w:link w:val="Style_28_ch"/>
    <w:uiPriority w:val="39"/>
    <w:pPr>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ConsPlusTitle"/>
    <w:link w:val="Style_29_ch"/>
    <w:pPr>
      <w:widowControl w:val="0"/>
      <w:spacing w:after="0" w:line="240" w:lineRule="auto"/>
      <w:ind/>
    </w:pPr>
    <w:rPr>
      <w:rFonts w:ascii="Calibri" w:hAnsi="Calibri"/>
      <w:b w:val="1"/>
    </w:rPr>
  </w:style>
  <w:style w:styleId="Style_29_ch" w:type="character">
    <w:name w:val="ConsPlusTitle"/>
    <w:link w:val="Style_29"/>
    <w:rPr>
      <w:rFonts w:ascii="Calibri" w:hAnsi="Calibri"/>
      <w:b w:val="1"/>
    </w:rPr>
  </w:style>
  <w:style w:styleId="Style_30" w:type="paragraph">
    <w:name w:val="toc 5"/>
    <w:next w:val="Style_8"/>
    <w:link w:val="Style_30_ch"/>
    <w:uiPriority w:val="39"/>
    <w:pPr>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Subtitle"/>
    <w:next w:val="Style_8"/>
    <w:link w:val="Style_31_ch"/>
    <w:uiPriority w:val="11"/>
    <w:qFormat/>
    <w:pPr>
      <w:ind/>
      <w:jc w:val="both"/>
    </w:pPr>
    <w:rPr>
      <w:rFonts w:ascii="XO Thames" w:hAnsi="XO Thames"/>
      <w:i w:val="1"/>
      <w:sz w:val="24"/>
    </w:rPr>
  </w:style>
  <w:style w:styleId="Style_31_ch" w:type="character">
    <w:name w:val="Subtitle"/>
    <w:link w:val="Style_31"/>
    <w:rPr>
      <w:rFonts w:ascii="XO Thames" w:hAnsi="XO Thames"/>
      <w:i w:val="1"/>
      <w:sz w:val="24"/>
    </w:rPr>
  </w:style>
  <w:style w:styleId="Style_32" w:type="paragraph">
    <w:name w:val="Title"/>
    <w:next w:val="Style_8"/>
    <w:link w:val="Style_32_ch"/>
    <w:uiPriority w:val="10"/>
    <w:qFormat/>
    <w:pPr>
      <w:spacing w:after="567" w:before="567"/>
      <w:ind/>
      <w:jc w:val="center"/>
    </w:pPr>
    <w:rPr>
      <w:rFonts w:ascii="XO Thames" w:hAnsi="XO Thames"/>
      <w:b w:val="1"/>
      <w:caps w:val="1"/>
      <w:sz w:val="40"/>
    </w:rPr>
  </w:style>
  <w:style w:styleId="Style_32_ch" w:type="character">
    <w:name w:val="Title"/>
    <w:link w:val="Style_32"/>
    <w:rPr>
      <w:rFonts w:ascii="XO Thames" w:hAnsi="XO Thames"/>
      <w:b w:val="1"/>
      <w:caps w:val="1"/>
      <w:sz w:val="40"/>
    </w:rPr>
  </w:style>
  <w:style w:styleId="Style_33" w:type="paragraph">
    <w:name w:val="heading 4"/>
    <w:basedOn w:val="Style_8"/>
    <w:next w:val="Style_8"/>
    <w:link w:val="Style_33_ch"/>
    <w:uiPriority w:val="9"/>
    <w:qFormat/>
    <w:pPr>
      <w:keepNext w:val="1"/>
      <w:spacing w:after="0" w:line="240" w:lineRule="auto"/>
      <w:ind w:firstLine="0" w:left="-993" w:right="-766"/>
      <w:outlineLvl w:val="3"/>
    </w:pPr>
    <w:rPr>
      <w:rFonts w:ascii="Times New Roman" w:hAnsi="Times New Roman"/>
      <w:b w:val="1"/>
      <w:sz w:val="52"/>
    </w:rPr>
  </w:style>
  <w:style w:styleId="Style_33_ch" w:type="character">
    <w:name w:val="heading 4"/>
    <w:basedOn w:val="Style_8_ch"/>
    <w:link w:val="Style_33"/>
    <w:rPr>
      <w:rFonts w:ascii="Times New Roman" w:hAnsi="Times New Roman"/>
      <w:b w:val="1"/>
      <w:sz w:val="52"/>
    </w:rPr>
  </w:style>
  <w:style w:styleId="Style_34" w:type="paragraph">
    <w:name w:val="heading 2"/>
    <w:next w:val="Style_8"/>
    <w:link w:val="Style_34_ch"/>
    <w:uiPriority w:val="9"/>
    <w:qFormat/>
    <w:pPr>
      <w:spacing w:after="120" w:before="120"/>
      <w:ind/>
      <w:jc w:val="both"/>
      <w:outlineLvl w:val="1"/>
    </w:pPr>
    <w:rPr>
      <w:rFonts w:ascii="XO Thames" w:hAnsi="XO Thames"/>
      <w:b w:val="1"/>
      <w:sz w:val="28"/>
    </w:rPr>
  </w:style>
  <w:style w:styleId="Style_34_ch" w:type="character">
    <w:name w:val="heading 2"/>
    <w:link w:val="Style_34"/>
    <w:rPr>
      <w:rFonts w:ascii="XO Thames" w:hAnsi="XO Thames"/>
      <w:b w:val="1"/>
      <w:sz w:val="28"/>
    </w:rPr>
  </w:style>
  <w:style w:styleId="Style_4" w:type="paragraph">
    <w:name w:val="List Paragraph"/>
    <w:basedOn w:val="Style_8"/>
    <w:link w:val="Style_4_ch"/>
    <w:pPr>
      <w:spacing w:after="0" w:line="240" w:lineRule="auto"/>
      <w:ind w:firstLine="0" w:left="720"/>
      <w:contextualSpacing w:val="1"/>
    </w:pPr>
    <w:rPr>
      <w:rFonts w:ascii="Times New Roman" w:hAnsi="Times New Roman"/>
      <w:sz w:val="24"/>
    </w:rPr>
  </w:style>
  <w:style w:styleId="Style_4_ch" w:type="character">
    <w:name w:val="List Paragraph"/>
    <w:basedOn w:val="Style_8_ch"/>
    <w:link w:val="Style_4"/>
    <w:rPr>
      <w:rFonts w:ascii="Times New Roman" w:hAnsi="Times New Roman"/>
      <w:sz w:val="24"/>
    </w:rPr>
  </w:style>
  <w:style w:styleId="Style_6" w:type="table">
    <w:name w:val="Сетка таблицы1"/>
    <w:basedOn w:val="Style_3"/>
    <w:pPr>
      <w:spacing w:after="0" w:line="240" w:lineRule="auto"/>
      <w:ind/>
    </w:pPr>
    <w:rPr>
      <w:rFonts w:ascii="Calibri" w:hAnsi="Calibri"/>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3" w:type="table">
    <w:name w:val="Normal Table"/>
    <w:tblPr>
      <w:tblInd w:type="dxa" w:w="0"/>
      <w:tblCellMar>
        <w:top w:type="dxa" w:w="0"/>
        <w:left w:type="dxa" w:w="108"/>
        <w:bottom w:type="dxa" w:w="0"/>
        <w:right w:type="dxa" w:w="108"/>
      </w:tblCellMar>
    </w:tblPr>
  </w:style>
  <w:style w:styleId="Style_2" w:type="table">
    <w:name w:val="Table Grid"/>
    <w:basedOn w:val="Style_3"/>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2" Target="numbering.xml" Type="http://schemas.openxmlformats.org/officeDocument/2006/relationships/numbering"/>
  <Relationship Id="rId10" Target="webSettings.xml" Type="http://schemas.openxmlformats.org/officeDocument/2006/relationships/webSettings"/>
  <Relationship Id="rId2" Target="header2.xml" Type="http://schemas.openxmlformats.org/officeDocument/2006/relationships/header"/>
  <Relationship Id="rId3" Target="header3.xml" Type="http://schemas.openxmlformats.org/officeDocument/2006/relationships/header"/>
  <Relationship Id="rId8" Target="styles.xml" Type="http://schemas.openxmlformats.org/officeDocument/2006/relationships/styles"/>
  <Relationship Id="rId4" Target="header4.xml" Type="http://schemas.openxmlformats.org/officeDocument/2006/relationships/head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header5.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2025-04-29T06:18:17Z</dcterms:modified>
</cp:coreProperties>
</file>