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t>КЕМЕРОВСКАЯ ОБЛАСТЬ-КУЗБАСС</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АДМИНИСТРАЦИЯ</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t>ПОСТАНОВЛЕНИЕ</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 </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Прокопьевск</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
        <w:tblW w:w="6259" w:type="dxa"/>
        <w:jc w:val="left"/>
        <w:tblInd w:w="108" w:type="dxa"/>
        <w:tblLayout w:type="fixed"/>
        <w:tblCellMar>
          <w:top w:w="0" w:type="dxa"/>
          <w:left w:w="108" w:type="dxa"/>
          <w:bottom w:w="0" w:type="dxa"/>
          <w:right w:w="108" w:type="dxa"/>
        </w:tblCellMar>
        <w:tblLook w:val="04a0"/>
      </w:tblPr>
      <w:tblGrid>
        <w:gridCol w:w="6259"/>
      </w:tblGrid>
      <w:tr>
        <w:trPr>
          <w:trHeight w:val="1284" w:hRule="atLeast"/>
        </w:trPr>
        <w:tc>
          <w:tcPr>
            <w:tcW w:w="6259" w:type="dxa"/>
            <w:tcBorders>
              <w:top w:val="nil"/>
              <w:left w:val="nil"/>
              <w:bottom w:val="nil"/>
              <w:right w:val="nil"/>
            </w:tcBorders>
          </w:tcPr>
          <w:p>
            <w:pPr>
              <w:pStyle w:val="Normal"/>
              <w:widowControl w:val="false"/>
              <w:numPr>
                <w:ilvl w:val="0"/>
                <w:numId w:val="0"/>
              </w:numPr>
              <w:suppressAutoHyphens w:val="true"/>
              <w:spacing w:lineRule="auto" w:line="240" w:before="0" w:after="0"/>
              <w:ind w:left="0" w:right="0" w:hanging="0"/>
              <w:jc w:val="both"/>
              <w:outlineLvl w:val="0"/>
              <w:rPr>
                <w:rFonts w:ascii="Times New Roman" w:hAnsi="Times New Roman" w:eastAsia="Times New Roman"/>
                <w:sz w:val="28"/>
                <w:szCs w:val="28"/>
                <w:lang w:bidi="pa-IN"/>
              </w:rPr>
            </w:pPr>
            <w:r>
              <w:rPr>
                <w:rFonts w:eastAsia="Times New Roman" w:cs="Times New Roman" w:ascii="Times New Roman" w:hAnsi="Times New Roman"/>
                <w:kern w:val="0"/>
                <w:sz w:val="28"/>
                <w:szCs w:val="28"/>
                <w:lang w:val="ru-RU" w:eastAsia="ru-RU" w:bidi="pa-IN"/>
              </w:rPr>
              <w:t>Об утверждении Правил предоставления субсидий по статье «Стимулирование увеличения производства сельскохозяйственной продукции»</w:t>
            </w:r>
          </w:p>
        </w:tc>
      </w:tr>
    </w:tbl>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соответствии со статьей 78 Бюджетного кодекса Российской федерации, постановлением Правительства Российской Федерации от 25.10.2023№ 1782 «Об утверждении общих требовании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субсидии,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муниципальной программы «Развитие сельского хозяйства Прокопьевского муниципального округа» на 2022-2027 годы, утвержденной постановлением администрации    Прокопьевского    муниципального   округа     от 27.09.2021 № 2547-п «Об утверждении муниципальной программы «Развитие сельского хозяйства Прокопьевского муниципального округа» на 2022-2027 годы, </w:t>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администрация Прокопьевского муниципального округа ПОСТАНОВЛЯЕТ:</w:t>
      </w:r>
    </w:p>
    <w:p>
      <w:pPr>
        <w:pStyle w:val="Normal"/>
        <w:tabs>
          <w:tab w:val="clear" w:pos="708"/>
          <w:tab w:val="left" w:pos="709" w:leader="none"/>
          <w:tab w:val="left" w:pos="1134" w:leader="none"/>
        </w:tabs>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1. Утвердить Правила п</w:t>
      </w:r>
      <w:r>
        <w:rPr>
          <w:rFonts w:cs="Times New Roman" w:ascii="Times New Roman" w:hAnsi="Times New Roman"/>
          <w:sz w:val="28"/>
          <w:szCs w:val="28"/>
        </w:rPr>
        <w:t xml:space="preserve">редоставления субсидии  по статье «Стимулирование увеличения производства сельскохозяйственной продукции» </w:t>
      </w:r>
      <w:r>
        <w:rPr>
          <w:rFonts w:cs="Times New Roman" w:ascii="Times New Roman" w:hAnsi="Times New Roman"/>
          <w:sz w:val="28"/>
        </w:rPr>
        <w:t>согласно приложению к настоящему постановлению.</w:t>
      </w:r>
    </w:p>
    <w:p>
      <w:pPr>
        <w:pStyle w:val="Normal"/>
        <w:tabs>
          <w:tab w:val="clear" w:pos="708"/>
          <w:tab w:val="left" w:pos="709"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0"/>
          <w:lang w:eastAsia="ru-RU"/>
        </w:rPr>
        <w:t>2</w:t>
      </w:r>
      <w:r>
        <w:rPr>
          <w:rFonts w:eastAsia="Times New Roman" w:cs="Times New Roman" w:ascii="Times New Roman" w:hAnsi="Times New Roman"/>
          <w:sz w:val="28"/>
          <w:szCs w:val="28"/>
          <w:lang w:eastAsia="ru-RU"/>
        </w:rPr>
        <w:t>.  Настоящее постановление опубликовать в газете «Сельская новь».</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  Настоящее постановление вступает в силу после опубликования.</w:t>
      </w:r>
    </w:p>
    <w:p>
      <w:pPr>
        <w:pStyle w:val="Normal"/>
        <w:numPr>
          <w:ilvl w:val="0"/>
          <w:numId w:val="0"/>
        </w:numPr>
        <w:tabs>
          <w:tab w:val="clear" w:pos="708"/>
          <w:tab w:val="left" w:pos="564"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 Со дня вступления в силу настоящего постановления признать утратившими силу:</w:t>
      </w:r>
    </w:p>
    <w:p>
      <w:pPr>
        <w:pStyle w:val="Normal"/>
        <w:shd w:val="clear" w:color="auto" w:fill="FFFFFF"/>
        <w:spacing w:lineRule="auto" w:line="240" w:before="0" w:after="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4.1.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4.2. постановление администрации Прокопьевского муниципального округа от 12.08.2022  № 2254-п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4.3. постановление администрации Прокопьевского муниципального округа от 07.12.2022  № 3658-п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4.4. постановление администрации Прокопьевского муниципального округа от 21.04.2023  № 69-п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4.5. постановление администрации Прокопьевского муниципального округа от 12.07.2023  № 125-п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4.6. постановление администрации Прокопьевского муниципального округа от 13.12.2023 № 228-п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4.7. постановление администрации Прокопьевского муниципального округа от 03.06.2024  № 65-п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widowControl/>
        <w:shd w:val="clear" w:color="auto" w:fill="FFFFFF"/>
        <w:bidi w:val="0"/>
        <w:spacing w:lineRule="auto" w:line="240" w:before="0" w:after="0"/>
        <w:ind w:left="0" w:right="0" w:firstLine="680"/>
        <w:jc w:val="both"/>
        <w:rPr>
          <w:rFonts w:ascii="Times New Roman" w:hAnsi="Times New Roman" w:cs="Times New Roman"/>
          <w:color w:val="1A1A1A"/>
          <w:sz w:val="28"/>
          <w:szCs w:val="28"/>
        </w:rPr>
      </w:pPr>
      <w:r>
        <w:rPr>
          <w:rFonts w:eastAsia="Times New Roman" w:cs="Times New Roman" w:ascii="Times New Roman" w:hAnsi="Times New Roman"/>
          <w:sz w:val="28"/>
          <w:szCs w:val="28"/>
          <w:lang w:eastAsia="ru-RU"/>
        </w:rPr>
        <w:t>4.8. постановление администрации Прокопьевского муниципального округа от 22.10.2024  № 156-п «О внесении изменений в постановление администрации Прокопьевского муниципального округа от 27.05.2022  № 1369-п «Об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p>
    <w:p>
      <w:pPr>
        <w:pStyle w:val="Normal"/>
        <w:numPr>
          <w:ilvl w:val="0"/>
          <w:numId w:val="0"/>
        </w:numPr>
        <w:tabs>
          <w:tab w:val="clear" w:pos="708"/>
          <w:tab w:val="left" w:pos="851"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5. Контроль за исполнением настоящего постановления возложить на   заместителя главы округа по сельскому хозяйству Ключника А. Ю.</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Прокопьевского</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округа                                                    Н.Г. Шабалина</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bidi="pa-IN"/>
        </w:rPr>
      </w:pPr>
      <w:r>
        <w:rPr>
          <w:rFonts w:eastAsia="Times New Roman" w:cs="Times New Roman" w:ascii="Times New Roman" w:hAnsi="Times New Roman"/>
          <w:bCs/>
          <w:sz w:val="28"/>
          <w:szCs w:val="28"/>
          <w:lang w:eastAsia="ru-RU" w:bidi="pa-IN"/>
        </w:rPr>
        <w:t xml:space="preserve">Приложение </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 постановлению администрации</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от                          №</w:t>
      </w:r>
    </w:p>
    <w:p>
      <w:pPr>
        <w:pStyle w:val="Normal"/>
        <w:rPr/>
      </w:pPr>
      <w:r>
        <w:rPr/>
      </w:r>
    </w:p>
    <w:p>
      <w:pPr>
        <w:pStyle w:val="Normal"/>
        <w:tabs>
          <w:tab w:val="clear" w:pos="708"/>
          <w:tab w:val="left" w:pos="6504" w:leader="none"/>
        </w:tabs>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ab/>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Правила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п</w:t>
      </w:r>
      <w:r>
        <w:rPr>
          <w:rFonts w:cs="Times New Roman" w:ascii="Times New Roman" w:hAnsi="Times New Roman"/>
          <w:b/>
          <w:sz w:val="28"/>
          <w:szCs w:val="28"/>
        </w:rPr>
        <w:t>редоставления субсидии по статье «Стимулирование увеличения производства сельскохозяйственной продукции»</w:t>
      </w:r>
    </w:p>
    <w:p>
      <w:pPr>
        <w:pStyle w:val="NormalWeb"/>
        <w:numPr>
          <w:ilvl w:val="0"/>
          <w:numId w:val="1"/>
        </w:numPr>
        <w:spacing w:beforeAutospacing="0" w:before="0" w:afterAutospacing="0" w:after="0"/>
        <w:jc w:val="center"/>
        <w:rPr>
          <w:rStyle w:val="Strong"/>
          <w:bCs w:val="false"/>
        </w:rPr>
      </w:pPr>
      <w:r>
        <w:rPr>
          <w:rStyle w:val="Strong"/>
          <w:bCs w:val="false"/>
          <w:sz w:val="28"/>
          <w:szCs w:val="28"/>
        </w:rPr>
        <w:t>Общие положения</w:t>
      </w:r>
    </w:p>
    <w:p>
      <w:pPr>
        <w:pStyle w:val="NormalWeb"/>
        <w:spacing w:beforeAutospacing="0" w:before="0" w:afterAutospacing="0" w:after="0"/>
        <w:ind w:left="720" w:hanging="0"/>
        <w:rPr>
          <w:rStyle w:val="Strong"/>
          <w:b w:val="false"/>
          <w:bCs w:val="false"/>
        </w:rPr>
      </w:pPr>
      <w:r>
        <w:rPr>
          <w:b w:val="false"/>
          <w:bCs w:val="false"/>
        </w:rPr>
      </w:r>
    </w:p>
    <w:p>
      <w:pPr>
        <w:pStyle w:val="Normal"/>
        <w:widowControl/>
        <w:bidi w:val="0"/>
        <w:spacing w:lineRule="auto" w:line="240" w:before="0" w:after="0"/>
        <w:ind w:left="0" w:right="0" w:firstLine="51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1.1. Настоящие Правила устанавливают цели, условия и порядок предоставления субсидии на возмещение части затрат (без учета налога на добавленную стоимость) </w:t>
      </w:r>
      <w:r>
        <w:rPr>
          <w:rFonts w:cs="Times New Roman" w:ascii="Times New Roman" w:hAnsi="Times New Roman"/>
          <w:sz w:val="28"/>
          <w:szCs w:val="28"/>
        </w:rPr>
        <w:t>по статье «Стимулирование увеличения производства сельскохозяйственной продукции»</w:t>
      </w:r>
      <w:r>
        <w:rPr>
          <w:rFonts w:eastAsia="Times New Roman" w:cs="Times New Roman" w:ascii="Times New Roman" w:hAnsi="Times New Roman"/>
          <w:sz w:val="28"/>
          <w:szCs w:val="28"/>
          <w:lang w:eastAsia="ru-RU"/>
        </w:rPr>
        <w:t xml:space="preserve"> (далее - субсидия), </w:t>
      </w:r>
      <w:r>
        <w:rPr>
          <w:rFonts w:cs="Times New Roman" w:ascii="Times New Roman" w:hAnsi="Times New Roman"/>
          <w:sz w:val="28"/>
          <w:szCs w:val="28"/>
        </w:rPr>
        <w:t>а также порядок проведения отбора и возврата субсидии в случаях, установленных настоящими Правилами</w:t>
      </w:r>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1.2.</w:t>
        <w:tab/>
        <w:t xml:space="preserve">Для целей настоящих Правил используются следующие понятия: </w:t>
      </w:r>
    </w:p>
    <w:p>
      <w:pPr>
        <w:pStyle w:val="ListParagraph"/>
        <w:widowControl/>
        <w:bidi w:val="0"/>
        <w:spacing w:lineRule="auto" w:line="240" w:before="0" w:after="0"/>
        <w:ind w:left="0" w:righ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участники отбора  - сельскохозяйственные товаропроизводители </w:t>
      </w:r>
      <w:r>
        <w:rPr>
          <w:rFonts w:cs="Times New Roman" w:ascii="Times New Roman" w:hAnsi="Times New Roman"/>
          <w:sz w:val="28"/>
          <w:szCs w:val="28"/>
        </w:rPr>
        <w:t>(за исключением сельскохозяйственных кредитных потребительских кооперативов</w:t>
      </w:r>
      <w:r>
        <w:rPr>
          <w:rFonts w:eastAsia="Times New Roman" w:cs="Times New Roman" w:ascii="Times New Roman" w:hAnsi="Times New Roman"/>
          <w:sz w:val="28"/>
          <w:szCs w:val="28"/>
          <w:lang w:eastAsia="ru-RU"/>
        </w:rPr>
        <w:t xml:space="preserve"> и граждан,  ведущих личное подсобное хозяйство), </w:t>
      </w:r>
      <w:r>
        <w:rPr>
          <w:rFonts w:cs="Times New Roman" w:ascii="Times New Roman" w:hAnsi="Times New Roman"/>
          <w:sz w:val="28"/>
          <w:szCs w:val="28"/>
        </w:rPr>
        <w:t>соответствующие требованиям, указанным в пункте 2.1 настоящих Правил, и представившие в Отдел прогнозирования и учета в сфере АПК (далее – отдел АПК) документы, указанные в пункте 2.3 настоящих Правил;</w:t>
      </w:r>
    </w:p>
    <w:p>
      <w:pPr>
        <w:pStyle w:val="ListParagraph"/>
        <w:widowControl/>
        <w:numPr>
          <w:ilvl w:val="0"/>
          <w:numId w:val="0"/>
        </w:numPr>
        <w:suppressAutoHyphens w:val="true"/>
        <w:bidi w:val="0"/>
        <w:spacing w:lineRule="auto" w:line="240" w:before="0" w:after="0"/>
        <w:ind w:left="0" w:right="0" w:firstLine="51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-победители отбора – участники отбора, прошедшие отбор согласно пункту 3.1 настоящих Правил;</w:t>
      </w:r>
    </w:p>
    <w:p>
      <w:pPr>
        <w:pStyle w:val="ListParagraph"/>
        <w:widowControl/>
        <w:numPr>
          <w:ilvl w:val="0"/>
          <w:numId w:val="0"/>
        </w:numPr>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-получатели субсидии - победители отбора, заключившие соглашение о предоставлении субсидии согласно пункту 2.6    настоящих Правил (далее – получатели);</w:t>
      </w:r>
    </w:p>
    <w:p>
      <w:pPr>
        <w:pStyle w:val="ListParagraph"/>
        <w:widowControl/>
        <w:bidi w:val="0"/>
        <w:spacing w:lineRule="auto" w:line="240" w:before="0" w:after="0"/>
        <w:ind w:left="0" w:righ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-сельскохозяйственная техника - </w:t>
      </w:r>
      <w:r>
        <w:rPr>
          <w:rFonts w:cs="Times New Roman" w:ascii="Times New Roman" w:hAnsi="Times New Roman"/>
          <w:sz w:val="28"/>
          <w:szCs w:val="28"/>
        </w:rPr>
        <w:t>это совокупность машин, оборудования, инструментов и устройств, предназначенных  для выполнения различных сельскохозяйственных работ, которая служит для автоматизации, цифровизации и улучшения процессов производства сельскохозяйственных культур, животноводства и других видов деятельности, связанных с сельским хозяйством</w:t>
      </w:r>
      <w:r>
        <w:rPr>
          <w:rFonts w:eastAsia="Times New Roman" w:cs="Times New Roman" w:ascii="Times New Roman" w:hAnsi="Times New Roman"/>
          <w:sz w:val="28"/>
          <w:szCs w:val="28"/>
          <w:lang w:eastAsia="ru-RU"/>
        </w:rPr>
        <w:t>;</w:t>
      </w:r>
    </w:p>
    <w:p>
      <w:pPr>
        <w:pStyle w:val="ListParagraph"/>
        <w:widowControl/>
        <w:bidi w:val="0"/>
        <w:spacing w:lineRule="auto" w:line="240" w:before="0" w:after="0"/>
        <w:ind w:left="0" w:righ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-затраты по статье «Стимулирование увеличения производства сельскохозяйственной продукции» - затраты (без учета налога на добавленную стоимость), обоснованные и документально подтвержденные, на приобретение сельскохозяйственной техники.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1.3. К субсидированию принимается сельскохозяйственная техника, которая приобреталась в течение 730 дней к моменту участия в отборе по договорам купли – продажи (поставки), при условии приобретения новой (выпущенной не позднее трех лет до дня ее реализации и ранее не эксплуатировавшийся) сельскохозяйственной техники.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1.4.</w:t>
        <w:tab/>
        <w:t>Субсидия предоставляется в целях реализации муниципальной программы «Развитие сельского хозяйства Прокопьевского муниципального округа», утвержденной постановлением администрации    Прокопьевского    муниципального   округа  от 27.09.2021 № 2547-п, и направлена на увеличение производства сельскохозяйственной продукции.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1.5.</w:t>
        <w:tab/>
        <w:t>Главным распорядителем средств местного бюджета по предоставлению субсидии является администрация Прокопьевского муниципального округа (далее – Администрация). Субсидия предоставляется в пределах средств местного бюджета на соответствующий финансовый год и плановый период.</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1.6.    Способом предоставления субсидии является возмещение затрат на приобретение сельскохозяйственной техники.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1.7. Размещение сведений о субсидиях.</w:t>
      </w:r>
    </w:p>
    <w:p>
      <w:pPr>
        <w:pStyle w:val="Normal"/>
        <w:widowControl/>
        <w:suppressAutoHyphens w:val="true"/>
        <w:bidi w:val="0"/>
        <w:spacing w:lineRule="auto" w:line="240" w:before="0" w:after="0"/>
        <w:ind w:left="0" w:right="0" w:firstLine="624"/>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1.7.1. Сведения о субсидиях размещаются в информационно-телекоммуникационной сети «Интернет», на сайте администрации Прокопьевского муниципального округа:</w:t>
      </w:r>
      <w:r>
        <w:rPr>
          <w:rFonts w:eastAsia="Times New Roman" w:cs="Times New Roman" w:ascii="Times New Roman" w:hAnsi="Times New Roman"/>
          <w:sz w:val="28"/>
          <w:szCs w:val="28"/>
          <w:u w:val="none"/>
          <w:lang w:eastAsia="ru-RU"/>
        </w:rPr>
        <w:t xml:space="preserve"> https://prokopmo.ru</w:t>
      </w:r>
      <w:r>
        <w:rPr>
          <w:rFonts w:eastAsia="Times New Roman" w:cs="Times New Roman" w:ascii="Times New Roman" w:hAnsi="Times New Roman"/>
          <w:sz w:val="28"/>
          <w:szCs w:val="28"/>
          <w:lang w:eastAsia="ru-RU"/>
        </w:rPr>
        <w:t>, в том числе:</w:t>
      </w:r>
    </w:p>
    <w:p>
      <w:pPr>
        <w:pStyle w:val="Normal"/>
        <w:widowControl/>
        <w:suppressAutoHyphens w:val="true"/>
        <w:bidi w:val="0"/>
        <w:spacing w:lineRule="auto" w:line="240" w:before="0" w:after="0"/>
        <w:ind w:left="0" w:right="0" w:firstLine="68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перечень нормативных правовых актов, регулирующих предоставление субсидий (с указанием их реквизитов и источников официального опубликования).</w:t>
      </w:r>
    </w:p>
    <w:p>
      <w:pPr>
        <w:pStyle w:val="Normal"/>
        <w:widowControl/>
        <w:suppressAutoHyphens w:val="true"/>
        <w:bidi w:val="0"/>
        <w:spacing w:lineRule="auto" w:line="240" w:before="0" w:after="0"/>
        <w:ind w:left="0" w:right="0" w:firstLine="624"/>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1.7.2. В случае определения получателя субсидии в государственной интегрированной информационной системе управления общественными финансами «Электронный бюджет», сведения о субсидиях, размещаются в данной системе, в порядке, установленном Министерством финансов Российской Федерации.</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center"/>
        <w:rPr>
          <w:rFonts w:ascii="Times New Roman" w:hAnsi="Times New Roman" w:eastAsia="Arial" w:cs="Times New Roman"/>
          <w:b/>
          <w:bCs/>
          <w:sz w:val="28"/>
          <w:szCs w:val="28"/>
        </w:rPr>
      </w:pPr>
      <w:r>
        <w:rPr>
          <w:rFonts w:eastAsia="Arial" w:cs="Times New Roman" w:ascii="Times New Roman" w:hAnsi="Times New Roman"/>
          <w:b/>
          <w:bCs/>
          <w:sz w:val="28"/>
          <w:szCs w:val="28"/>
        </w:rPr>
        <w:t>2. Условия и порядок предоставления субсидии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2.1.</w:t>
        <w:tab/>
        <w:t xml:space="preserve"> </w:t>
      </w:r>
      <w:r>
        <w:rPr>
          <w:rFonts w:cs="Times New Roman" w:ascii="Times New Roman" w:hAnsi="Times New Roman"/>
          <w:sz w:val="28"/>
          <w:szCs w:val="28"/>
        </w:rPr>
        <w:t>Участник отбора на дату не ранее 1-го числа месяца, в котором подается заявка об участии в отборе (далее – заявка), должен соответствовать следующим требованиям</w:t>
      </w:r>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br/>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не получать средства из местного бюджета в соответствии с иными нормативными актами на цели, установленные пунктом 1.4 настоящих Правил;</w:t>
      </w:r>
    </w:p>
    <w:p>
      <w:pPr>
        <w:pStyle w:val="Normal"/>
        <w:spacing w:lineRule="auto" w:line="240" w:before="0" w:after="0"/>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 не являться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ж) </w:t>
      </w:r>
      <w:bookmarkStart w:id="0" w:name="_Hlk155803441"/>
      <w:r>
        <w:rPr>
          <w:rFonts w:cs="Times New Roman" w:ascii="Times New Roman" w:hAnsi="Times New Roman"/>
          <w:sz w:val="28"/>
          <w:szCs w:val="28"/>
        </w:rPr>
        <w:t xml:space="preserve">не иметь просроченной задолженности по возврату в местный бюджет иных субсидий, бюджетных инвестиций, а также иной просроченной (неурегулированной) задолженности по денежным обязательствам перед </w:t>
      </w:r>
      <w:bookmarkEnd w:id="0"/>
      <w:r>
        <w:rPr>
          <w:rFonts w:cs="Times New Roman" w:ascii="Times New Roman" w:hAnsi="Times New Roman"/>
          <w:sz w:val="28"/>
          <w:szCs w:val="28"/>
        </w:rPr>
        <w:t>бюджетом Прокопьевского муниципального округа;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 не привлекаться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 наличие 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 не иметь</w:t>
      </w:r>
      <w:r>
        <w:rPr>
          <w:rFonts w:eastAsia="Times New Roman" w:cs="Times New Roman" w:ascii="Times New Roman" w:hAnsi="Times New Roman"/>
          <w:sz w:val="28"/>
          <w:szCs w:val="28"/>
          <w:lang w:eastAsia="ru-RU"/>
        </w:rPr>
        <w:t xml:space="preserve"> просроченной задолженности перед Комитетом по управлению муниципальной собственностью Прокопьевского муниципального округа за  аренду муниципального имущества;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 не иметь  просроченной задолженности по возврату кредитов (при наличии) в Муниципальном фонде поддержки малого предпринимательства Прокопьевского муниципального округа.</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2.2</w:t>
      </w:r>
      <w:bookmarkStart w:id="1" w:name="_Hlk156297360"/>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Проверка участника отбора на соответствие требованиям, указанным </w:t>
      </w:r>
      <w:bookmarkStart w:id="2" w:name="_Hlk155716214"/>
      <w:r>
        <w:rPr>
          <w:rFonts w:cs="Times New Roman" w:ascii="Times New Roman" w:hAnsi="Times New Roman"/>
          <w:sz w:val="28"/>
          <w:szCs w:val="28"/>
        </w:rPr>
        <w:t>в пункте 2.1 настоящих Правил</w:t>
      </w:r>
      <w:bookmarkEnd w:id="2"/>
      <w:r>
        <w:rPr>
          <w:rFonts w:cs="Times New Roman" w:ascii="Times New Roman" w:hAnsi="Times New Roman"/>
          <w:sz w:val="28"/>
          <w:szCs w:val="28"/>
        </w:rPr>
        <w:t xml:space="preserve">, в срок не более 20 рабочих дней со дня окончания приема заявок осуществляется </w:t>
      </w:r>
      <w:bookmarkEnd w:id="1"/>
      <w:r>
        <w:rPr>
          <w:rFonts w:eastAsia="Times New Roman" w:cs="Times New Roman" w:ascii="Times New Roman" w:hAnsi="Times New Roman"/>
          <w:sz w:val="28"/>
          <w:szCs w:val="28"/>
          <w:lang w:eastAsia="ru-RU"/>
        </w:rPr>
        <w:t xml:space="preserve">отделом прогнозирования и учета в сфере агропромышленного комплекса администрации Прокопьевского муниципального округа (далее- отдел АПК) </w:t>
      </w:r>
      <w:r>
        <w:rPr>
          <w:rFonts w:cs="Times New Roman" w:ascii="Times New Roman" w:hAnsi="Times New Roman"/>
          <w:sz w:val="28"/>
          <w:szCs w:val="28"/>
        </w:rPr>
        <w:t>в следующем порядке:</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sz w:val="28"/>
          <w:szCs w:val="28"/>
        </w:rPr>
        <w:t>сведения, установленные подпунктом «а» пункта 2.1 настоящих Правил, проверяются с использованием общедоступных сведений посредством запроса через официальный сайт Федеральной налоговой службы Российской Федерации по адрес</w:t>
      </w:r>
      <w:r>
        <w:rPr>
          <w:rFonts w:cs="Times New Roman" w:ascii="Times New Roman" w:hAnsi="Times New Roman"/>
          <w:color w:val="000000" w:themeColor="text1"/>
          <w:sz w:val="28"/>
          <w:szCs w:val="28"/>
        </w:rPr>
        <w:t xml:space="preserve">у </w:t>
      </w:r>
      <w:hyperlink r:id="rId2" w:tgtFrame="https://service.nalog.ru/io.do">
        <w:r>
          <w:rPr>
            <w:rStyle w:val="-"/>
            <w:rFonts w:cs="Times New Roman" w:ascii="Times New Roman" w:hAnsi="Times New Roman"/>
            <w:color w:val="000000" w:themeColor="text1"/>
            <w:sz w:val="28"/>
            <w:szCs w:val="28"/>
          </w:rPr>
          <w:t>https://service.nalog.ru/io.do</w:t>
        </w:r>
      </w:hyperlink>
      <w:r>
        <w:rPr>
          <w:rFonts w:cs="Times New Roman" w:ascii="Times New Roman" w:hAnsi="Times New Roman"/>
          <w:color w:val="000000" w:themeColor="text1"/>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подпунктами «б», «в» пункта 2.1 настоящих Правил, проверяются с использованием общедоступных сведений посредством запроса через официальный сайт Федеральной службы по финансовому мониторингу (Росфинмониторинг) в информационно-телекоммуникационной сети «Интернет» по адресу </w:t>
      </w:r>
      <w:hyperlink r:id="rId3" w:tgtFrame="https://www.fedsfm.ru/documents/terr-list">
        <w:r>
          <w:rPr>
            <w:rStyle w:val="-"/>
            <w:rFonts w:cs="Times New Roman" w:ascii="Times New Roman" w:hAnsi="Times New Roman"/>
            <w:color w:val="auto"/>
            <w:sz w:val="28"/>
            <w:szCs w:val="28"/>
          </w:rPr>
          <w:t>https://www.fedsfm.ru/documents/terr-list</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подпунктами «г», «ж» пункта 2.1 настоящих Правил, проверяются посредством направления запроса главным распорядителям бюджетных средств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«д» пункта 2.1 настоящих Правил, проверяются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 по адресу </w:t>
      </w:r>
      <w:hyperlink r:id="rId4" w:tgtFrame="https://minjust.gov.ru/ru/activity/directions/998/">
        <w:r>
          <w:rPr>
            <w:rStyle w:val="-"/>
            <w:rFonts w:cs="Times New Roman" w:ascii="Times New Roman" w:hAnsi="Times New Roman"/>
            <w:color w:val="auto"/>
            <w:sz w:val="28"/>
            <w:szCs w:val="28"/>
          </w:rPr>
          <w:t>https://minjust.gov.ru/ru/activity/directions/998/</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подпунктами «е», «и» пункта 2.1 настоящих Правил, проверяются посредством направления запроса через каналы региональной системы межведомственного электронного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«з» пункта 2.1 настоящих Правил,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по адресу </w:t>
      </w:r>
      <w:hyperlink r:id="rId5" w:tgtFrame="https://fedresurs.ru/search/entity">
        <w:r>
          <w:rPr>
            <w:rStyle w:val="-"/>
            <w:rFonts w:cs="Times New Roman" w:ascii="Times New Roman" w:hAnsi="Times New Roman"/>
            <w:color w:val="auto"/>
            <w:sz w:val="28"/>
            <w:szCs w:val="28"/>
          </w:rPr>
          <w:t>https://fedresurs.ru/search/entity</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«к» пункта 2.1 настоящих Правил, проверяются посредством направления запроса в отдел ГО и ЧС администрации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«л» пункта 2.1 настоящих Правил, проверяются по средствам проверки  </w:t>
      </w:r>
      <w:r>
        <w:rPr>
          <w:rFonts w:eastAsia="Times New Roman" w:cs="Times New Roman" w:ascii="Times New Roman" w:hAnsi="Times New Roman"/>
          <w:sz w:val="28"/>
          <w:szCs w:val="28"/>
          <w:lang w:eastAsia="ru-RU"/>
        </w:rPr>
        <w:t xml:space="preserve">отделом АПК </w:t>
      </w:r>
      <w:r>
        <w:rPr>
          <w:rFonts w:cs="Times New Roman" w:ascii="Times New Roman" w:hAnsi="Times New Roman"/>
          <w:sz w:val="28"/>
          <w:szCs w:val="28"/>
        </w:rPr>
        <w:t>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«м», «н» пункта 2.1 настоящих Правил, проверяются посредством направления запроса о наличии или отсутствии задолженности в КУМС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Администрация в целях подтверждения соответствия участника отбора требованиям, указанным в пункте 2.1 настоящих Правил,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Участник отбора в срок, указанный в объявлении о проведении отбора, вправе по собственной инициативе представить </w:t>
      </w:r>
      <w:bookmarkStart w:id="3" w:name="_Hlk156724746"/>
      <w:r>
        <w:rPr>
          <w:rFonts w:cs="Times New Roman" w:ascii="Times New Roman" w:hAnsi="Times New Roman"/>
          <w:sz w:val="28"/>
          <w:szCs w:val="28"/>
        </w:rPr>
        <w:t>на дату не ранее 1-го числа месяца</w:t>
      </w:r>
      <w:bookmarkEnd w:id="3"/>
      <w:r>
        <w:rPr>
          <w:rFonts w:cs="Times New Roman" w:ascii="Times New Roman" w:hAnsi="Times New Roman"/>
          <w:sz w:val="28"/>
          <w:szCs w:val="28"/>
        </w:rPr>
        <w:t>, в котором направляется заявка, справку налогового органа об отсутствии или не превышении размера, определенного пунктом 3 статьи 47 Налогового кодекса Российской Федерации, на едином налоговом счете участника отбора задолженности по уплате налогов, сборов и страховых взносов в бюджеты бюджетной системы Российской Федерации,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2.3. У</w:t>
      </w:r>
      <w:r>
        <w:rPr>
          <w:rFonts w:cs="Times New Roman" w:ascii="XO Thames" w:hAnsi="XO Thames"/>
          <w:bCs/>
          <w:sz w:val="28"/>
          <w:szCs w:val="28"/>
        </w:rPr>
        <w:t>частник отбора в срок, указанный в объявлении о проведении отбора, представляет заявку, включающую следующие документы:</w:t>
      </w:r>
      <w:r>
        <w:rPr>
          <w:rFonts w:cs="Times New Roman" w:ascii="Times New Roman" w:hAnsi="Times New Roman"/>
          <w:sz w:val="28"/>
          <w:szCs w:val="28"/>
        </w:rPr>
        <w:t xml:space="preserve">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заявление на участие в отборе и предоставление субсидии по форме согласно приложению №  1 к настоящим Правилам, которое включает, в том числе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заявлении, иной информации об участнике отбора, связанной с соответствующим отбором, а также согласие на обработку персональных данных;</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б) справку-расчет о причитающейся субсидии по форме согласно приложению № 2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 отчет o фактически произведенных затратах на приобретение сельскохозяйственной техники для сельскохозяйственного производства за   период 730 дней к моменту подачи заявки на отбор   по   форме   согласно   приложению   №  3  к настоящим Правилам, содержащий сведения о следующих документах (с приложением их копий):</w:t>
      </w:r>
    </w:p>
    <w:p>
      <w:pPr>
        <w:pStyle w:val="ListParagraph"/>
        <w:widowControl/>
        <w:numPr>
          <w:ilvl w:val="0"/>
          <w:numId w:val="0"/>
        </w:numPr>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договоры купли-продажи (поставки) (при наличии);</w:t>
      </w:r>
    </w:p>
    <w:p>
      <w:pPr>
        <w:pStyle w:val="ListParagraph"/>
        <w:numPr>
          <w:ilvl w:val="0"/>
          <w:numId w:val="0"/>
        </w:numPr>
        <w:spacing w:lineRule="auto" w:line="240" w:before="0" w:after="0"/>
        <w:ind w:lef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платежные документы (платежные поручения, и (или) приходные кассовые ордера с кассовыми чеками, и (или) кассовые чеки при осуществлении наличных расчетов, и (или) иные документы, подтверждающие оплату фактически произведенных затрат).</w:t>
      </w:r>
    </w:p>
    <w:p>
      <w:pPr>
        <w:pStyle w:val="ListParagraph"/>
        <w:widowControl/>
        <w:numPr>
          <w:ilvl w:val="0"/>
          <w:numId w:val="0"/>
        </w:numPr>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информацию, заверенную претендентом, по формам федерального статистического наблюдения: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Для сельхозтоваропроизводителей, занимающихся животноводством: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 3-фермер (МП) «Сведения о производстве продукции животноводства и поголовье скота» за отчетный месяц, предшествующий месяцу участия в отборе, а также за аналогичный период прошлого года;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 3-фермер «Сведения о производстве продукции животноводства и поголовье скота» или № 24-CX «Сведения о состоянии животноводства» за отчетный финансовый год и за год, предшествующий отчетному финансовому году.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Для сельхозтоваропроизводителей, занимающихся растениеводством: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 2-фермер «Сведения о сборе урожая сельскохозяйственных культур» или № 29-СХ «Сведения о сборе урожая сельскохозяйственных культур» за отчетный финансовый год и за год, предшествующий отчетному финансовому году.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 документы, подтверждающие обстоятельства непреодолимой силы, указанные в пункте 5.4 настоящих Правил (в случае недостижения значений результатов предоставления субсидии);</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е)</w:t>
      </w:r>
      <w:r>
        <w:rPr>
          <w:rFonts w:cs="Times New Roman" w:ascii="Times New Roman" w:hAnsi="Times New Roman"/>
          <w:sz w:val="28"/>
          <w:szCs w:val="28"/>
        </w:rPr>
        <w:t xml:space="preserve"> реестр документов, устанавливающих право собственности на земельный участок (участки), и (или) аренды земельного участка (участков), и (или) временного пользования земельным участком (участками), на которых осуществляется или планируется осуществлять производство сельскохозяйственной продукции, с приложением копий этих документов </w:t>
      </w:r>
      <w:r>
        <w:rPr>
          <w:rFonts w:eastAsia="Times New Roman" w:cs="Times New Roman" w:ascii="Times New Roman" w:hAnsi="Times New Roman"/>
          <w:sz w:val="28"/>
          <w:szCs w:val="28"/>
          <w:lang w:eastAsia="ru-RU"/>
        </w:rPr>
        <w:t>согласно приложению № 5 к настоящим Правилам</w:t>
      </w:r>
      <w:r>
        <w:rPr>
          <w:rFonts w:cs="Times New Roman" w:ascii="Times New Roman" w:hAnsi="Times New Roman"/>
          <w:sz w:val="28"/>
          <w:szCs w:val="28"/>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p>
    <w:p>
      <w:pPr>
        <w:pStyle w:val="Normal"/>
        <w:widowControl/>
        <w:suppressAutoHyphens w:val="true"/>
        <w:bidi w:val="0"/>
        <w:spacing w:lineRule="auto" w:line="240" w:before="0" w:after="0"/>
        <w:ind w:left="0" w:right="0" w:hanging="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2.4. Основаниями для отклонения заявок и отказа участнику отбора в предоставлении субсидии являются: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несоответствие участника отбора требованиям, установленным пунктом 2.1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б) непредставление (представление не в полном объеме) документов, указанных в пункте 2.3 настоящих Правил;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несоответствие представленных участником отбора документов требованиям, предусмотренным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установление факта недостоверности представленной участником отбора информации, содержащейся в документах, представленных участником отбора в целях подтверждения соответствия критериям, установленным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 подача участником отбора заявки после даты и (или) времени, указанных в объявлении о проведении отбора;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 наличие в заявлении и представленных документах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ж) противоречие сведений, содержащихся в представленных документах, друг другу либо сведениям, содержащимся в других документах и информационных ресурсах, которые находятся в распоряжении Администрации;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 недостаточность лимитов бюджетных обязательств на текущий финансовый год.</w:t>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2.5. Предоставление субсидии осуществляется по ставкам, </w:t>
        <w:br/>
      </w:r>
      <w:r>
        <w:rPr>
          <w:rFonts w:eastAsia="Times New Roman" w:cs="Times New Roman" w:ascii="Times New Roman" w:hAnsi="Times New Roman"/>
          <w:sz w:val="28"/>
          <w:szCs w:val="28"/>
          <w:lang w:eastAsia="ru-RU"/>
        </w:rPr>
        <w:t>утверждаемым Администрацией</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которые указаны в приложении № 4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Размер субсидии не должен превышать 90 процентов стоимости приобретенной сельскохозяйственной техники. Отчет о фактически произведенных затратах предоставляется  по   форме   согласно   приложению   № 3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Направлением затрат, на возмещение которых предоставляется субсидия, являются документально подтвержденные затраты, на приобретение сельскохозяйственной техники для сельскохозяйственного производства, предусмотренные пунктом 1.3 настоящих Правил. Документом, подтверждающим размер фактически произведенных затрат, является отчет о фактически произведенных затратах за отчетный период по форме согласно приложению № 3 к настоящим Правилам, с приложением указанных в нем копий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2.6. Предоставление субсидии получателю осуществляется на основании соглашения, заключаемого между Администрацией и получателем в соответствии с типовой формой, утвержденной Финансовым управлением администрации Прокопьевского муниципального округа, дополнительное соглашение к соглашению, в том числе дополнительное соглашение о расторжении соглашения (при необходимости), в которой предусматриваются в том числе следующие положения: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 значение результата предоставления субсидии, указанного в </w:t>
        <w:br/>
        <w:t>пункте 2.9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сроки и формы представления отчетности получателем;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 ранее доведенных лимитов бюджетных обязательств, указанных в пункте 1.5 настоящих Правил, приводящего к невозможности предоставления субсидии в размере, определенном в соглашении;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согласие получателя на осуществление Администрацией в отношении него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муниципального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 и на включение таких положений в соглашение;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этих средств, указанного в пункте 2.9 настоящих Правил, иных операций;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w:t>
      </w:r>
      <w:r>
        <w:rPr>
          <w:rFonts w:cs="Times New Roman" w:ascii="Times New Roman" w:hAnsi="Times New Roman"/>
          <w:bCs/>
          <w:sz w:val="28"/>
          <w:szCs w:val="28"/>
        </w:rPr>
        <w:t xml:space="preserve"> условие о заключении</w:t>
      </w:r>
      <w:r>
        <w:rPr>
          <w:rFonts w:cs="Times New Roman" w:ascii="Times New Roman" w:hAnsi="Times New Roman"/>
          <w:sz w:val="28"/>
          <w:szCs w:val="28"/>
        </w:rPr>
        <w:t xml:space="preserve">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при реорганизации получателя, являющегося юридическим лицом, в форме слияния, присоединения или преобразования;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ж) условие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в бюджет Прокопьевского муниципального округа при реорганизации получателя, являющегося юридическим лицом, в форме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 условие о заключении дополнительного соглашения к соглашению в части перемены лица в обязательстве с указанием в соглашении иного лица, являющегося правопреемником, при прекращении деятельности 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w:t>
        <w:br/>
        <w:t>«О крестьянском (фермерском) хозяйстве»;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представление отчета о достижении значений результатов предоставления субсидии и отчета о реализации плана мероприятий по достижению результатов предоставления субсидии (контрольных точек).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2.7. Подготовка проекта соглашения, указанного в пункте 2.6 настоящих Правил, осуществляется отделом АПК в срок не позднее </w:t>
        <w:br/>
        <w:t>5 рабочих дней с даты принятия Администрацией решения о признании участников отбора победителями отбора и предоставлении им субсидии.</w:t>
      </w:r>
    </w:p>
    <w:p>
      <w:pPr>
        <w:pStyle w:val="Normal"/>
        <w:numPr>
          <w:ilvl w:val="0"/>
          <w:numId w:val="0"/>
        </w:numPr>
        <w:spacing w:lineRule="auto" w:line="240" w:before="0" w:after="0"/>
        <w:ind w:left="0" w:firstLine="709"/>
        <w:jc w:val="both"/>
        <w:outlineLvl w:val="2"/>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предоставление субсидии осуществляется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2.8. Соглашение заключается в срок не позднее 10 рабочих дней </w:t>
        <w:br/>
        <w:t>с даты принятия  Администрацией  решения о признании участников отбора победителями отбора и предоставлении им субсидии.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победитель отбора</w:t>
      </w:r>
      <w:r>
        <w:rPr>
          <w:rFonts w:cs="Times New Roman" w:ascii="Times New Roman" w:hAnsi="Times New Roman"/>
          <w:sz w:val="28"/>
          <w:szCs w:val="28"/>
        </w:rPr>
        <w:t xml:space="preserve"> должен подписать соглашение в течение 3 рабочих дней со дня поступления соглашения на подписание в систему «Электронный бюджет» или направить возражения по проекту соглашения.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Победитель отбора признается уклонившимся от подписания соглашения в случае не подписания соглашения и не направления возражений по проекту соглашения в срок, установленный абзацем вторым настоящего пункта. Решение о признании участника отбора победителем отбора и предоставлении ему субсидии аннулируется.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о признании победителя отбора уклонившимся от подписания соглашения и об аннулировании решения о признании участника отбора победителем отбора и предоставлении ему субсидии оформляется правовым актом Администрации и в течение 3 рабочих дней с даты окончания срока подписания соглашения размещается на официальном сайте Администрации </w:t>
        <w:br/>
        <w:t xml:space="preserve">(с размещением указателя страницы на едином портале).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2.9. </w:t>
      </w:r>
      <w:bookmarkStart w:id="4" w:name="_Hlk158528077"/>
      <w:r>
        <w:rPr>
          <w:rFonts w:cs="Times New Roman" w:ascii="Times New Roman" w:hAnsi="Times New Roman"/>
          <w:sz w:val="28"/>
          <w:szCs w:val="28"/>
        </w:rPr>
        <w:t xml:space="preserve">Результат предоставления субсидии  устанавливается  муниципальной программой </w:t>
      </w:r>
      <w:r>
        <w:rPr>
          <w:rFonts w:eastAsia="Times New Roman" w:cs="Times New Roman" w:ascii="Times New Roman" w:hAnsi="Times New Roman"/>
          <w:sz w:val="28"/>
          <w:szCs w:val="28"/>
          <w:lang w:eastAsia="ru-RU"/>
        </w:rPr>
        <w:t>«Развитие сельского хозяйства Прокопьевского муниципального округа»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животноводческих предприятий результат предоставления субсидий:</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«Производство скота и птицы на убой в сельскохозяйственных предприятиях и КФХ (в живом весе), или  «Производство молока в сельскохозяйственных предприятиях и КФХ (тысяч тонн)», или «Поголовье  крупного рогатого скота в сельскохозяйственных предприятиях и КФХ, в т.ч. коров (голов)».</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сельскохозяйственных предприятий, занимающихся растениеводством:</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«Посевная площадь» и «Объем производства продукции: зерна, картофеля, овощей.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отношении каждого отдельного получателя значение результата предоставления субсидии устанавливается Администрацией в соглашении.</w:t>
      </w:r>
      <w:bookmarkEnd w:id="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2.10. Администрация осуществляет предоставление субсидии в пределах лимитов бюджетных обязательств в соответствии с пунктом 1.5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2.11. Отдел АПК в срок не позднее 5 рабочих дней со дня принятия решения о признании участников отбора победителями отбора и предоставлении им субсидии представляет в </w:t>
      </w:r>
      <w:r>
        <w:rPr>
          <w:rFonts w:eastAsia="Times New Roman" w:cs="Times New Roman" w:ascii="Times New Roman" w:hAnsi="Times New Roman"/>
          <w:sz w:val="28"/>
          <w:szCs w:val="28"/>
          <w:lang w:eastAsia="ru-RU"/>
        </w:rPr>
        <w:t>Финансовое управление администрации  Прокопьевского муниципального округа</w:t>
      </w:r>
      <w:r>
        <w:rPr>
          <w:rFonts w:cs="Times New Roman" w:ascii="Times New Roman" w:hAnsi="Times New Roman"/>
          <w:sz w:val="28"/>
          <w:szCs w:val="28"/>
        </w:rPr>
        <w:t xml:space="preserve"> правовой акт Администрации на финансирование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2.12. </w:t>
      </w:r>
      <w:r>
        <w:rPr>
          <w:rFonts w:eastAsia="Times New Roman" w:cs="Times New Roman" w:ascii="Times New Roman" w:hAnsi="Times New Roman"/>
          <w:sz w:val="28"/>
          <w:szCs w:val="28"/>
          <w:lang w:eastAsia="ru-RU"/>
        </w:rPr>
        <w:t>Финансовое управление  администрации Прокопьевского муниципального округа</w:t>
      </w:r>
      <w:r>
        <w:rPr>
          <w:rFonts w:cs="Times New Roman" w:ascii="Times New Roman" w:hAnsi="Times New Roman"/>
          <w:sz w:val="28"/>
          <w:szCs w:val="28"/>
        </w:rPr>
        <w:t xml:space="preserve"> на основании правового акта доводит предельные объемы финансирования на лицевой счет Администрации.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2.13. Администрация в течении 10 рабочих дней перечисляет средства субсидии </w:t>
      </w:r>
      <w:r>
        <w:rPr>
          <w:rFonts w:eastAsia="Times New Roman" w:cs="Times New Roman" w:ascii="Times New Roman" w:hAnsi="Times New Roman"/>
          <w:sz w:val="28"/>
          <w:szCs w:val="28"/>
          <w:lang w:eastAsia="ru-RU"/>
        </w:rPr>
        <w:t>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w:t>
      </w:r>
      <w:r>
        <w:rPr>
          <w:rFonts w:cs="Times New Roman" w:ascii="Times New Roman" w:hAnsi="Times New Roman"/>
          <w:sz w:val="28"/>
          <w:szCs w:val="28"/>
        </w:rPr>
        <w:t xml:space="preserve"> в срок, установленный в соглашении.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3.</w:t>
        <w:tab/>
        <w:t>Порядок проведения отбора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3.1. </w:t>
      </w:r>
      <w:r>
        <w:rPr>
          <w:rFonts w:cs="Times New Roman" w:ascii="Times New Roman" w:hAnsi="Times New Roman"/>
          <w:sz w:val="28"/>
          <w:szCs w:val="28"/>
        </w:rPr>
        <w:t>Способом проведения отбора является запрос предложений на участие в отборе, направленных участниками отбора, исходя из соответствия участника отбора критериям, установленным пунктами 3.4.1 настоящих Правил, и требованиям, установленным пунктом 2.1 настоящих Правил,а также очередности поступления заявок на участие в отборе.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 Отбор проводит Администрация, которая принимает решение о проведении отбора. Отдел АПК формирует и размещает объявление о проведении отбора на официальном сайте Администрации (с размещением указателя страницы на едином портале) в срок не позднее чем за 1 рабочий день до даты начала приема заявок  с указанием: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даты размещения объявления о проведении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срока проведения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даты начала подачи и </w:t>
      </w:r>
      <w:bookmarkStart w:id="5" w:name="_Hlk157959165"/>
      <w:r>
        <w:rPr>
          <w:rFonts w:cs="Times New Roman" w:ascii="Times New Roman" w:hAnsi="Times New Roman"/>
          <w:sz w:val="28"/>
          <w:szCs w:val="28"/>
        </w:rPr>
        <w:t xml:space="preserve">окончания приема заявок </w:t>
      </w:r>
      <w:bookmarkEnd w:id="5"/>
      <w:r>
        <w:rPr>
          <w:rFonts w:cs="Times New Roman" w:ascii="Times New Roman" w:hAnsi="Times New Roman"/>
          <w:sz w:val="28"/>
          <w:szCs w:val="28"/>
        </w:rPr>
        <w:t xml:space="preserve">участников отбора, которая не может быть ранее 10-го календарного дня, следующего за днем размещения объявления;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наименования, места нахождения, почтового адреса, адреса электронной почты Администрации;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результата предоставления субсидии в соответствии с пунктом 2.9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доменного имени и (или) указателей страниц сайта в информационно-телекоммуникационной сети «Интернет», на котором обеспечивается проведение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ж) требований к участникам отбора, определенным в соответствии с пунктом 2.1 настоящих Правил, и к перечню документов, представляемых участниками отбора для подтверждения соответствия указанным требованиям согласно пункту 2.3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 критериев отбора в соответствии с пунктами 3.4.1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порядка подачи участниками отбора заявок и требований, предъявляемых к форме и содержанию заявок в соответствии с пунктом 3.5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 порядка отзыва заявок, порядка их возврата, определяющего в том числе основания для возврата заявок, порядка внесения изменений в заявки;</w:t>
      </w:r>
    </w:p>
    <w:p>
      <w:pPr>
        <w:pStyle w:val="Normal"/>
        <w:spacing w:lineRule="auto" w:line="240" w:before="0" w:after="0"/>
        <w:ind w:firstLine="709"/>
        <w:jc w:val="both"/>
        <w:rPr>
          <w:rFonts w:ascii="Times New Roman" w:hAnsi="Times New Roman" w:cs="Times New Roman"/>
          <w:b/>
          <w:sz w:val="28"/>
          <w:szCs w:val="28"/>
        </w:rPr>
      </w:pPr>
      <w:r>
        <w:rPr>
          <w:rFonts w:cs="Times New Roman" w:ascii="Times New Roman" w:hAnsi="Times New Roman"/>
          <w:sz w:val="28"/>
          <w:szCs w:val="28"/>
        </w:rPr>
        <w:t xml:space="preserve">л) порядка возврата заявок на доработку;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 порядка отклонения заявок, а также информации об основаниях их отклонения;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 объема распределяемой субсидии в рамках отбора, порядка расчета размера субсидии, правил распределения субсидии по результатам отбора, а также предельного количества победителей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 срока, в течение которого победитель отбора должен подписать соглашение;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 условий признания победителя отбора уклонившимся от заключения соглашения;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 срока размещения протокола подведения итогов отбора (документа об итогах проведения отбора) на официальном сайте Администрации</w:t>
        <w:br/>
        <w:t>(с размещением указателя страницы сайта на едином портале), который не может быть позднее 14-го календарного дня, следующего за днем определения победителей отбора.</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3.3.</w:t>
      </w:r>
      <w:r>
        <w:rPr>
          <w:rFonts w:eastAsia="Times New Roman" w:cs="Times New Roman" w:ascii="Times New Roman" w:hAnsi="Times New Roman"/>
          <w:b/>
          <w:sz w:val="28"/>
          <w:szCs w:val="28"/>
          <w:lang w:eastAsia="ru-RU"/>
        </w:rPr>
        <w:tab/>
      </w:r>
      <w:r>
        <w:rPr>
          <w:rFonts w:cs="Times New Roman" w:ascii="Times New Roman" w:hAnsi="Times New Roman"/>
          <w:sz w:val="28"/>
          <w:szCs w:val="28"/>
        </w:rPr>
        <w:t>Участник отбора должен соответствовать требованиям, указанным в пункте 2.1 настоящих Правил, и критериям, указанным в пунктах 3.4.1 настоящих Правил. Документы, подтверждающие соответствие участника отбора указанным требованиям и критериям, определены пунктами 2.</w:t>
      </w:r>
      <w:r>
        <w:rPr>
          <w:rFonts w:cs="Times New Roman" w:ascii="Times New Roman" w:hAnsi="Times New Roman"/>
          <w:sz w:val="28"/>
          <w:szCs w:val="28"/>
        </w:rPr>
        <w:t>2</w:t>
      </w:r>
      <w:r>
        <w:rPr>
          <w:rFonts w:cs="Times New Roman" w:ascii="Times New Roman" w:hAnsi="Times New Roman"/>
          <w:sz w:val="28"/>
          <w:szCs w:val="28"/>
        </w:rPr>
        <w:t xml:space="preserve">, </w:t>
      </w:r>
      <w:r>
        <w:rPr>
          <w:rFonts w:cs="Times New Roman" w:ascii="Times New Roman" w:hAnsi="Times New Roman"/>
          <w:sz w:val="28"/>
          <w:szCs w:val="28"/>
        </w:rPr>
        <w:t>2.</w:t>
      </w:r>
      <w:r>
        <w:rPr>
          <w:rFonts w:cs="Times New Roman" w:ascii="Times New Roman" w:hAnsi="Times New Roman"/>
          <w:sz w:val="28"/>
          <w:szCs w:val="28"/>
        </w:rPr>
        <w:t xml:space="preserve">3 настоящих Правил. </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3.4. </w:t>
      </w:r>
      <w:r>
        <w:rPr>
          <w:rFonts w:cs="Times New Roman" w:ascii="Times New Roman" w:hAnsi="Times New Roman"/>
          <w:bCs/>
          <w:sz w:val="28"/>
          <w:szCs w:val="28"/>
        </w:rPr>
        <w:t>Администрация проводит отбор в соответствии со следующими критериями:</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3.4.1. Для сельскохозяйственных товаропроизводителей:</w:t>
      </w:r>
    </w:p>
    <w:p>
      <w:pPr>
        <w:pStyle w:val="Normal"/>
        <w:spacing w:lineRule="auto" w:line="240" w:before="0" w:after="0"/>
        <w:ind w:firstLine="709"/>
        <w:jc w:val="both"/>
        <w:rPr>
          <w:rFonts w:ascii="Times New Roman" w:hAnsi="Times New Roman" w:cs="Times New Roman"/>
          <w:bCs/>
          <w:sz w:val="28"/>
          <w:szCs w:val="28"/>
        </w:rPr>
      </w:pPr>
      <w:bookmarkStart w:id="6" w:name="_Hlk158528966"/>
      <w:r>
        <w:rPr>
          <w:rFonts w:cs="Times New Roman" w:ascii="Times New Roman" w:hAnsi="Times New Roman"/>
          <w:bCs/>
          <w:sz w:val="28"/>
          <w:szCs w:val="28"/>
        </w:rPr>
        <w:t>а) соответствие участника отбора требованиям статьи 3 Федерального закона от 29.12.2006 № 264-ФЗ «О развитии сельского хозяйства» (за исключением сельскохозяйственных кредитных потребительских кооперативов и граждан, ведущих личное подсобное хозяйство и применяющих специальный налоговый режим «Налог на профессиональный доход»);</w:t>
      </w:r>
      <w:bookmarkEnd w:id="6"/>
    </w:p>
    <w:p>
      <w:pPr>
        <w:pStyle w:val="Normal"/>
        <w:widowControl/>
        <w:suppressAutoHyphens w:val="true"/>
        <w:bidi w:val="0"/>
        <w:spacing w:lineRule="auto" w:line="240" w:before="0" w:after="0"/>
        <w:ind w:left="0" w:righ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б) быть зарегистрированным и осуществлять деятельность по  производству сельскохозяйственной продукции на территории Прокопьевского муниципального округа;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 представлять отчет о финансово-экономическом состоянии товаропроизводителей</w:t>
        <w:tab/>
        <w:t>агропромышленного</w:t>
        <w:tab/>
        <w:t>комплекса, (далее - отчет о финансово-экономическом состоянии товаропроизводителей AПK) по формам и в сроки, которые утверждены Министерством сельского хозяйства Российской Федерации, в зависимости от организационно-правовой формы претендента (для юридических лиц и индивидуальных предпринимателей);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обеспечить выполнение следующих показателей: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Для животноводческих предприятий: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иметь  поголовье сельскохозяйственных животных и  обеспечить его  сохранность на конец отчетного периода по отношению к уровню аналогичного периода года, предшествующего отчетному периоду, за исключением претендентов, которые начали хозяйственную деятельность по производству сельскохозяйственной продукции  в текущем финансовом году.</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сельскохозяйственных предприятий, занимающихся растениеводством: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сохранение посевных площадей на конец отчетного периода по отношению к уровню аналогичного периода года, предшествующего отчетному периоду, за исключением претендентов, которые начали хозяйственную деятельность по производству сельскохозяйственной продукции  в текущем финансовом году;</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3.5.</w:t>
        <w:tab/>
      </w:r>
      <w:r>
        <w:rPr>
          <w:rFonts w:cs="Times New Roman" w:ascii="Times New Roman" w:hAnsi="Times New Roman"/>
          <w:bCs/>
          <w:sz w:val="28"/>
          <w:szCs w:val="28"/>
        </w:rPr>
        <w:t xml:space="preserve">Участник отбора </w:t>
      </w:r>
      <w:r>
        <w:rPr>
          <w:rFonts w:cs="Times New Roman" w:ascii="Times New Roman" w:hAnsi="Times New Roman"/>
          <w:sz w:val="28"/>
          <w:szCs w:val="28"/>
        </w:rPr>
        <w:t>в срок, указанный в объявлении,</w:t>
      </w:r>
      <w:r>
        <w:rPr>
          <w:rFonts w:cs="Times New Roman" w:ascii="Times New Roman" w:hAnsi="Times New Roman"/>
          <w:bCs/>
          <w:sz w:val="28"/>
          <w:szCs w:val="28"/>
        </w:rPr>
        <w:t xml:space="preserve"> подает заявку, включающую документы, указанные в пункте 2.3 настоящих Правил, в отдел АПК</w:t>
      </w:r>
      <w:r>
        <w:rPr>
          <w:rFonts w:eastAsia="Times New Roman" w:cs="Times New Roman" w:ascii="Times New Roman" w:hAnsi="Times New Roman"/>
          <w:b/>
          <w:sz w:val="28"/>
          <w:szCs w:val="28"/>
          <w:lang w:eastAsia="ru-RU"/>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Заявка регистрируется </w:t>
      </w:r>
      <w:r>
        <w:rPr>
          <w:rFonts w:eastAsia="Times New Roman" w:cs="Times New Roman" w:ascii="Times New Roman" w:hAnsi="Times New Roman"/>
          <w:sz w:val="28"/>
          <w:szCs w:val="28"/>
          <w:lang w:eastAsia="ru-RU"/>
        </w:rPr>
        <w:t>в журнале регистрации заявлений в порядке их поступления, который нумеруется, прошнуровывается и скрепляется печатью.</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Документы, указанные в настоящем пункте, принимаются от руководителя участника, лица, имеющего право действовать без доверенности от имени участника, либо от представителя участника при наличии доверенности.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Участники отбора несут полную ответственность за достоверность информации, отраженной в представленных документах.</w:t>
      </w:r>
    </w:p>
    <w:p>
      <w:pPr>
        <w:pStyle w:val="Normal"/>
        <w:spacing w:lineRule="auto" w:line="240" w:before="0" w:after="0"/>
        <w:jc w:val="both"/>
        <w:rPr>
          <w:rFonts w:ascii="Times New Roman" w:hAnsi="Times New Roman" w:cs="Times New Roman"/>
          <w:sz w:val="28"/>
          <w:szCs w:val="28"/>
        </w:rPr>
      </w:pPr>
      <w:r>
        <w:rPr/>
        <w:t xml:space="preserve">       </w:t>
      </w:r>
      <w:r>
        <w:rPr>
          <w:rFonts w:cs="Times New Roman" w:ascii="Times New Roman" w:hAnsi="Times New Roman"/>
          <w:sz w:val="28"/>
          <w:szCs w:val="28"/>
        </w:rPr>
        <w:t>3.6. Участник отбора в срок, указанный в объявлении о проведении отбора, вправе: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подать одну заявку;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отозвать заявку в любое время до даты окончания проведения отбора в случае: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внесения изменений в заявку и подачи новой заявки в порядке, аналогичном порядку формирования заявки, указанному в пункте 3.5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отказа от участия в отборе;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обратиться в отдел АПК за разъяснениями положений объявления о проведении отбора в форме устного обращения (по номеру телефона, указанного в объявлении о проведении отбора), а также посредством личного обращения.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3.7. Заявка, представленная не позднее 2 рабочих дней до даты окончания приема заявок, возвращается участнику отбора на доработку один раз в период приема заявок, указанный в объявлении о проведении отбора, в случае: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 представления не в полном объеме документов, указанных в </w:t>
        <w:br/>
        <w:t>пункте 2.3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наличия в представленных документах, указанных в пункте 2.3 настоящих Правил,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Участник отбора направляет скорректированную заявку в срок </w:t>
        <w:br/>
        <w:t>не позднее даты окончания приема заявок, указанный в объявлении о проведении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 истечении даты окончания приема заявок, указанной в объявлении о проведении отбора, заявки не принимаются и не возвращаются на доработку.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3.8. </w:t>
      </w:r>
      <w:bookmarkStart w:id="7" w:name="_Hlk160875013"/>
      <w:r>
        <w:rPr>
          <w:rFonts w:cs="Times New Roman" w:ascii="Times New Roman" w:hAnsi="Times New Roman"/>
          <w:sz w:val="28"/>
          <w:szCs w:val="28"/>
        </w:rPr>
        <w:t xml:space="preserve">Отдел АПК в срок не более 15 рабочих дней, следующих за днем окончания приема заявок, рассматривает документы участников отбора, указанные в пункте 2.3 настоящих Правил, и их соответствие </w:t>
      </w:r>
      <w:bookmarkStart w:id="8" w:name="_Hlk156662201"/>
      <w:r>
        <w:rPr>
          <w:rFonts w:cs="Times New Roman" w:ascii="Times New Roman" w:hAnsi="Times New Roman"/>
          <w:sz w:val="28"/>
          <w:szCs w:val="28"/>
        </w:rPr>
        <w:t>требованиям пункта 3.5 настоящих Правил, проверяет соответствие участника отбора требованиям, установленным пунктом 2.1 настоящих Правил, и критериям, установленным пунктами 3.4.1  настоящих Правил.</w:t>
      </w:r>
      <w:bookmarkEnd w:id="7"/>
      <w:bookmarkEnd w:id="8"/>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3.9. Заявка признается надлежащей, если представленные документы соответствуют требованиям пункта 3.5 настоящих Правил, а также при соответствии участника отбора требованиям, установленным пунктом 2.1 настоящих Правил, и при отсутствии оснований для отклонения заявки, установленных пунктом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3.10. Участники отбора, заявки которых не были отклонены, признаются победителями отбора. </w:t>
      </w:r>
    </w:p>
    <w:p>
      <w:pPr>
        <w:pStyle w:val="Normal"/>
        <w:widowControl/>
        <w:suppressAutoHyphens w:val="true"/>
        <w:bidi w:val="0"/>
        <w:spacing w:lineRule="auto" w:line="240" w:before="0" w:after="0"/>
        <w:ind w:left="0" w:right="0" w:firstLine="510"/>
        <w:jc w:val="both"/>
        <w:rPr>
          <w:rFonts w:ascii="Times New Roman" w:hAnsi="Times New Roman" w:cs="Times New Roman"/>
          <w:sz w:val="28"/>
          <w:szCs w:val="28"/>
        </w:rPr>
      </w:pPr>
      <w:r>
        <w:rPr>
          <w:rFonts w:cs="Times New Roman" w:ascii="Times New Roman" w:hAnsi="Times New Roman"/>
          <w:sz w:val="28"/>
          <w:szCs w:val="28"/>
        </w:rPr>
        <w:t>3.11. Отдел АПК не позднее 5-го рабочего дня со дня окончания срока рассмотрения заявок принимает решение о признании участников отбора победителями отбора и предоставлении им субсидии либо решение об отклонении заявок с указанием оснований для их отклонения, установленных пунктом 2.4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Решения, указанные в абзаце первом настоящего пункта, оформляются правовым актом Администрации, размещаются на официальном сайте Администрации (с размещением указателя страницы сайта на едином портале) в течение 1 рабочего дня с даты их принятия и включают следующие сведения: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дату, время и место проведения рассмотрения заявок;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информацию об участниках отбора, заявки которых были рассмотрены;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информацию об участниках отбора, заявки которых были отклонены, с указанием оснований для их отклонения;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наименование получателей, с которыми заключается соглашение,</w:t>
        <w:br/>
        <w:t>и размер предоставляемой им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3.12. Размещение правового акта Администрации, указанного в абзаце втором пункта 3.11 настоящих Правил, на официальном сайте Администрации является надлежащим уведомлением участников отбора о принятом решении.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3.13. По результатам отбора с победителями отбора заключается соглашение, указанное в пункте 2.6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3.14. Отбор признается несостоявшимся в случаях, если: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участия в отборе не поступило заявок;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ни один участник отбора не соответствует требованиям и критериям настоящих Правил.</w:t>
      </w:r>
    </w:p>
    <w:p>
      <w:pPr>
        <w:pStyle w:val="Normal"/>
        <w:spacing w:lineRule="auto" w:line="240" w:before="0" w:after="0"/>
        <w:ind w:firstLine="709"/>
        <w:jc w:val="both"/>
        <w:rPr>
          <w:rFonts w:ascii="Times New Roman" w:hAnsi="Times New Roman" w:cs="Times New Roman"/>
          <w:sz w:val="28"/>
          <w:szCs w:val="28"/>
        </w:rPr>
      </w:pPr>
      <w:bookmarkStart w:id="9" w:name="_Hlk157330098"/>
      <w:r>
        <w:rPr>
          <w:rFonts w:cs="Times New Roman" w:ascii="Times New Roman" w:hAnsi="Times New Roman"/>
          <w:sz w:val="28"/>
          <w:szCs w:val="28"/>
        </w:rPr>
        <w:t>Администрация вправе принять решение о проведении отбора повторно.</w:t>
      </w:r>
      <w:bookmarkEnd w:id="9"/>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3.15. Распределение субсидии между победителями отбора осуществляется Администрацией в пределах лимитов бюджетных обязательств на предоставление субсидии на текущий финансовый год в соответствии с пунктом 1.5 настоящих Правил в размере, определенном в соответствии с пунктом 2.5 настоящих Правил.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Взаимодействие с победителями отбора по результатам его проведения осуществляется Администрацией в соответствии с пунктами 2.6–2.8 настоящих Правил.</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spacing w:lineRule="auto" w:line="240" w:before="0" w:after="0"/>
        <w:contextualSpacing/>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Требования к предоставлению отчетности</w:t>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4.1. </w:t>
      </w:r>
      <w:bookmarkStart w:id="10" w:name="_Hlk156653735"/>
      <w:r>
        <w:rPr>
          <w:rFonts w:cs="Times New Roman" w:ascii="Times New Roman" w:hAnsi="Times New Roman"/>
          <w:sz w:val="28"/>
          <w:szCs w:val="28"/>
        </w:rPr>
        <w:t>Для подтверждения достижения значения результата предоставления субсидии, указанного в пункте 2.9 настоящих Правил, получатели субсидии предоставляют отчеты в сроки и по форме, предусмотренные соглашением.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предоставлении субсидии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 отчетность, получателем субсидии предоставляется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Получатель формирует и представляет в системе «Электронный бюджет» по формам, определенным типовыми формами, следующую информацию:</w:t>
      </w:r>
      <w:bookmarkEnd w:id="10"/>
    </w:p>
    <w:p>
      <w:pPr>
        <w:pStyle w:val="Normal"/>
        <w:spacing w:lineRule="auto" w:line="240" w:before="0" w:after="0"/>
        <w:ind w:firstLine="709"/>
        <w:jc w:val="both"/>
        <w:rPr>
          <w:rFonts w:ascii="Times New Roman" w:hAnsi="Times New Roman" w:cs="Times New Roman"/>
          <w:sz w:val="28"/>
          <w:szCs w:val="28"/>
        </w:rPr>
      </w:pPr>
      <w:bookmarkStart w:id="11" w:name="_Hlk156391966"/>
      <w:r>
        <w:rPr>
          <w:rFonts w:cs="Times New Roman" w:ascii="Times New Roman" w:hAnsi="Times New Roman"/>
          <w:sz w:val="28"/>
          <w:szCs w:val="28"/>
        </w:rPr>
        <w:t>а) отчет о достижении значений результатов предоставления субсидии</w:t>
      </w:r>
      <w:bookmarkEnd w:id="11"/>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отчет о реализации плана мероприятий по достижению результатов предоставления субсидии (контрольных точек).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Информация, указанная в настоящем пункте, представляется в следующие сроки: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сельскохозяйственными товаропроизводителями (за исключением сельскохозяйственных кредитных потребительских кооперативов и граждан, ведущих личное подсобное хозяйство) ежеквартально в срок не позднее </w:t>
        <w:br/>
        <w:t>15-го рабочего дня, следующего за отчетным кварталом;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4.2. Получатель предоставляет форму федерального статистического наблюдения № 3-фермер «Сведения о производстве продукции животноводства и поголовье скота», № 2-фермер «Сведения о сборе урожая сельскохозяйственных культур» или № 29-СХ «Сведения о сборе урожая сельскохозяйственных культур»,заверенную получателем субсидии (за исключением граждан, ведущих личное подсобное хозяйство) не позднее 15-го рабочего дня, следующего за отчетным периодом.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4.3. Получатель представляет формы годового отчета 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 по формам и в сроки, утвержденные Министерством сельского хозяйства Российской Федерации (за исключением граждан, ведущих личное подсобное хозяйство) в сроки, утвержденные Министерством сельского хозяйства Кемеровской области-Кузбасса, в зависимости от организационно-правовой формы получателя (за исключением граждан, ведущих личное подсобное хозяйство).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4.4. Проверка и принятие отчетов и документов, указанных в </w:t>
        <w:br/>
        <w:t>пунктах 4.1, 4.2 настоящих Правил, осуществляется Администрацией в срок, не превышающий 10 рабочих дней после окончания срока их представления.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соответствия отчетов и документов установленным формам и требованиям к их содержанию, указанным в пунктах 4.1, 4.2 настоящих Правил, отчеты и документы принимаются Администрацией.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наличии замечаний к отчетам и документам в срок, не превышающий 10 рабочих дней после окончания срока их представления, Администрация отклоняет отчеты в системе «Электронный бюджет» и (или) направляет документы на доработку с указанием причин отклонения и возврата на доработку.</w:t>
      </w:r>
    </w:p>
    <w:p>
      <w:pPr>
        <w:pStyle w:val="Normal"/>
        <w:spacing w:lineRule="auto" w:line="240" w:before="0" w:after="0"/>
        <w:ind w:firstLine="709"/>
        <w:jc w:val="both"/>
        <w:rPr>
          <w:rFonts w:ascii="Times New Roman" w:hAnsi="Times New Roman" w:cs="Times New Roman"/>
          <w:sz w:val="28"/>
          <w:szCs w:val="28"/>
        </w:rPr>
      </w:pPr>
      <w:bookmarkStart w:id="12" w:name="_Hlk158436580"/>
      <w:r>
        <w:rPr>
          <w:rFonts w:cs="Times New Roman" w:ascii="Times New Roman" w:hAnsi="Times New Roman"/>
          <w:sz w:val="28"/>
          <w:szCs w:val="28"/>
        </w:rPr>
        <w:t>Получатель обязан устранить замечания, указанные в абзаце третьем настоящего пункта, в течение 3 рабочих дней со дня отклонения и (или) возврата на доработку отчетов и повторно направить скорректированные отчеты и документы в порядке, установленном пунктами 4.1, 4.2 настоящих Правил</w:t>
      </w:r>
      <w:bookmarkEnd w:id="12"/>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Непредставление получателем отчетов и документов, указанных в пунктах 4.1, 4.2 настоящих Правил, является подтверждением факта нарушения условий и порядка предоставления субсидии и недостижения результата предоставления субсидии, влечет в отношении получателя применение мер ответственности, предусмотренных пунктом 5.3 настоящих Правил.</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5. Требования об осуществлении контроля (мониторинга)</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за соблюдением условий и порядка предоставления субсидии</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и ответственности за их нарушение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5.1. 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 в том числе в части достижения результата предоставления субсидии, соответствия предоставленных в администрацию получателем субсидии  информации и документов для получении субсидии,  а также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5.2. Администрация осуществляет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получении результата предоставления субсидии (контрольная точка), в порядке и по формам, утвержденным приказом Министерства финансов Российской Федерации от </w:t>
      </w:r>
      <w:r>
        <w:rPr>
          <w:rFonts w:cs="Times New Roman" w:ascii="XO Thames" w:hAnsi="XO Thames"/>
          <w:b w:val="false"/>
          <w:i w:val="false"/>
          <w:caps w:val="false"/>
          <w:smallCaps w:val="false"/>
          <w:color w:val="2A3143"/>
          <w:spacing w:val="0"/>
          <w:sz w:val="28"/>
          <w:szCs w:val="28"/>
        </w:rPr>
        <w:t>27.04.2024 № 53-н</w:t>
      </w:r>
      <w:r>
        <w:rPr>
          <w:rFonts w:cs="Times New Roman" w:ascii="XO Thames" w:hAnsi="XO Thames"/>
          <w:sz w:val="28"/>
          <w:szCs w:val="28"/>
        </w:rPr>
        <w:t xml:space="preserve"> </w:t>
      </w:r>
      <w:r>
        <w:rPr>
          <w:rFonts w:cs="Times New Roman" w:ascii="Times New Roman" w:hAnsi="Times New Roman"/>
          <w:b w:val="false"/>
          <w:i w:val="false"/>
          <w:caps w:val="false"/>
          <w:smallCaps w:val="false"/>
          <w:color w:val="2A3143"/>
          <w:spacing w:val="0"/>
          <w:sz w:val="28"/>
          <w:szCs w:val="28"/>
        </w:rPr>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5.3. Мерами ответственности к получателю за нарушение условий и порядка предоставления субсидии, в том числе за недостижение результата предоставления субсидии, являются возврат субсидии и штрафные санкции в </w:t>
      </w:r>
      <w:r>
        <w:rPr>
          <w:rFonts w:eastAsia="Calibri" w:cs="Times New Roman" w:ascii="Times New Roman" w:hAnsi="Times New Roman"/>
          <w:sz w:val="28"/>
          <w:szCs w:val="28"/>
          <w:lang w:eastAsia="ru-RU"/>
        </w:rPr>
        <w:t>бюджет Прокопьевского муниципального округа</w:t>
      </w:r>
      <w:r>
        <w:rPr>
          <w:rFonts w:cs="Times New Roman" w:ascii="Times New Roman" w:hAnsi="Times New Roman"/>
          <w:sz w:val="28"/>
          <w:szCs w:val="28"/>
        </w:rPr>
        <w:t xml:space="preserve"> в следующих случаях: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5.3.1. В случае выявления факта нарушения получателем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Администрация в течение 20 рабочих дней со дня выявления нарушения принимает решение о применении к получателю меры ответственности в виде: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возврата субсидии в размере суммы субсидии, использованной с нарушением;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применения штрафных санкций к получателю в размере</w:t>
        <w:br/>
        <w:t>одной десятой процента от суммы субсидии, предоставленной получателю.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Администрация направляет получателю требование об обеспечении возврата субсидии и  уплаты штрафных санкций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5.3.2.  В случае недостижения значения результата предоставления субсидии Администрация в течение 20 рабочих дней со дня принятия отчета о достижении значений результатов предоставления субсидии, предусмотренного подпунктом «а» пункта 4.1 настоящих Правил, принимает решение о применении к получателю меры ответственности в виде возврата субсидии и направляет получателю требование об обеспечении возврата субсидии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Размер возврата субсидии (</w:t>
      </w:r>
      <w:r>
        <w:rPr>
          <w:rFonts w:cs="Times New Roman" w:ascii="Times New Roman" w:hAnsi="Times New Roman"/>
          <w:sz w:val="28"/>
          <w:szCs w:val="28"/>
          <w:lang w:val="en-US"/>
        </w:rPr>
        <w:t>V</w:t>
      </w:r>
      <w:r>
        <w:rPr>
          <w:rFonts w:cs="Times New Roman" w:ascii="Times New Roman" w:hAnsi="Times New Roman"/>
          <w:sz w:val="28"/>
          <w:szCs w:val="28"/>
          <w:vertAlign w:val="subscript"/>
        </w:rPr>
        <w:t>возврата</w:t>
      </w:r>
      <w:r>
        <w:rPr>
          <w:rFonts w:cs="Times New Roman" w:ascii="Times New Roman" w:hAnsi="Times New Roman"/>
          <w:sz w:val="28"/>
          <w:szCs w:val="28"/>
        </w:rPr>
        <w:t>) рассчитывается  по формуле: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V (возврата) = (Vсубсидии x k) x 0,1, где: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Vсубсидии - размер субсидии, предоставленный получателю субсидии в отчетном квартале текущего года;</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k - коэффициент возврата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Коэффициент возврата рассчитывается по формуле: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k = Di,</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где Di - индекс, отражающий уровень не достижения i-го показателя предоставления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Индекс, отражающий уровень не достижения i-го показателя предоставления субсидии, определяется:</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Di = 1 - Ti / Si, где: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Ti - фактически достигнутое значение i-го показателя предоставления субсидии на отчетную дату;</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Si - плановое значение i-го показателя предоставления субсидии, установленное соглашением.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5.4. Основанием для освобождения получателей от применения штрафных санкций при недостижении значения показателя предоставления субсидии, предусмотренных соглашением,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засуха, наводнение, подтопление, паводок, оползень, ураганный ветер, лавина, град, сель на территории Прокопьевского муниципального округа, подтвержденные справкой или заверенной в установленном порядке копией справки, выданной Кемеровским центром по гидрометеорологии и мониторингу окружающей среды - филиалом Федерального государственного бюджетного учреждения «Западно-Сибирское управление по гидрометеорологии и мониторингу окружающей среды»;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землетрясение на территории Прокопьевского муниципального округа Кемеровской области - Кузбасса, подтвержденное справкой или заверенной в установленном порядке копией справки, выданной Алтае-Саянским филиалом Федерального государственного бюджетного учреждения науки Федерального исследовательского центра «Единая геофизическая служба Российской академии наук»;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природный пожар на территории, используемой получателем субсидии, подтвержденный справкой или заверенной в установленном порядке копией справки, выданной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Кемеровской области – Кузбассу.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копией приказа Управления ветеринарии Кузбасса, выданного получателю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введение на территории Прокопьевского муниципального округа режима чрезвычайной ситуации, подтвержденное копией правового акта в году предоставления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возникновения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 получатель представляет пояснительную записку с указанием причины возникновения обстоятельств непреодолимой силы и их влияния на соблюдение условий предоставления субсидии, в том числе на исполнение обязательств по достижению значения результата предоставления субсидии, с приложением копий документов, подтверждающих наступление обстоятельств непреодолимой силы.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5.5. П</w:t>
      </w:r>
      <w:r>
        <w:rPr>
          <w:rFonts w:eastAsia="Times New Roman" w:cs="Times New Roman" w:ascii="Times New Roman" w:hAnsi="Times New Roman"/>
          <w:sz w:val="28"/>
          <w:szCs w:val="28"/>
          <w:lang w:eastAsia="ru-RU"/>
        </w:rPr>
        <w:t xml:space="preserve">олучатель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с момента получения требования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обязан провести возврат ранее полученных сумм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указанных в требовании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в бюджет Прокопьевского муниципального округа в </w:t>
      </w:r>
      <w:r>
        <w:rPr>
          <w:rFonts w:eastAsia="Times New Roman" w:cs="Times New Roman" w:ascii="Times New Roman" w:hAnsi="Times New Roman"/>
          <w:sz w:val="28"/>
          <w:szCs w:val="28"/>
          <w:lang w:eastAsia="ru-RU"/>
        </w:rPr>
        <w:t>течение 10 дней с момента получения требования о возврате</w:t>
      </w:r>
      <w:r>
        <w:rPr>
          <w:rFonts w:cs="Times New Roman" w:ascii="Times New Roman" w:hAnsi="Times New Roman"/>
          <w:sz w:val="28"/>
          <w:szCs w:val="28"/>
        </w:rPr>
        <w:t xml:space="preserve"> в размере, определенном в указанном требовании</w:t>
      </w:r>
      <w:r>
        <w:rPr>
          <w:rFonts w:eastAsia="Times New Roman" w:cs="Times New Roman" w:ascii="Times New Roman" w:hAnsi="Times New Roman"/>
          <w:sz w:val="28"/>
          <w:szCs w:val="28"/>
          <w:lang w:eastAsia="ru-RU"/>
        </w:rPr>
        <w:t>.</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5.6. В случае если получатель субсидии не возвратил </w:t>
      </w:r>
      <w:r>
        <w:rPr>
          <w:rFonts w:eastAsia="Times New Roman" w:cs="Times New Roman" w:ascii="Times New Roman" w:hAnsi="Times New Roman"/>
          <w:bCs/>
          <w:sz w:val="28"/>
          <w:szCs w:val="28"/>
          <w:lang w:eastAsia="ru-RU"/>
        </w:rPr>
        <w:t>субсидию</w:t>
      </w:r>
      <w:r>
        <w:rPr>
          <w:rFonts w:eastAsia="Times New Roman" w:cs="Times New Roman" w:ascii="Times New Roman" w:hAnsi="Times New Roman"/>
          <w:sz w:val="28"/>
          <w:szCs w:val="28"/>
          <w:lang w:eastAsia="ru-RU"/>
        </w:rPr>
        <w:t xml:space="preserve"> в бюджет Прокопьевского муниципального округа в течение 10 дней с момента получения требования о возврате</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или возвратил его не в полном объеме, Администрация обеспечивает взыскание субсидии в судебном порядке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5.7. Администрация имеет право перераспределить возвращенную на лицевой счет Администрации субсидию, для предоставления субсидии в текущем финансовом году иным получателям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5.8. Получатели субсидии имеют право на обжалование действий (бездействия) и решений, осуществляемых (принятых) администрацией, в досудебном порядке путем направления жалобы в администрацию и (или) в судебном порядке, предусмотренном действующим законодательством.</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
        <w:tblW w:w="9464" w:type="dxa"/>
        <w:jc w:val="left"/>
        <w:tblInd w:w="108" w:type="dxa"/>
        <w:tblLayout w:type="fixed"/>
        <w:tblCellMar>
          <w:top w:w="0" w:type="dxa"/>
          <w:left w:w="108" w:type="dxa"/>
          <w:bottom w:w="0" w:type="dxa"/>
          <w:right w:w="108" w:type="dxa"/>
        </w:tblCellMar>
        <w:tblLook w:val="04a0"/>
      </w:tblPr>
      <w:tblGrid>
        <w:gridCol w:w="4785"/>
        <w:gridCol w:w="4678"/>
      </w:tblGrid>
      <w:tr>
        <w:trPr/>
        <w:tc>
          <w:tcPr>
            <w:tcW w:w="4785"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sz w:val="28"/>
                <w:szCs w:val="28"/>
              </w:rPr>
            </w:pPr>
            <w:r>
              <w:rPr>
                <w:rFonts w:ascii="Times New Roman" w:hAnsi="Times New Roman"/>
                <w:sz w:val="28"/>
                <w:szCs w:val="28"/>
              </w:rPr>
            </w:r>
            <w:bookmarkStart w:id="13" w:name="_GoBack"/>
            <w:bookmarkStart w:id="14" w:name="_GoBack"/>
            <w:bookmarkEnd w:id="14"/>
          </w:p>
        </w:tc>
        <w:tc>
          <w:tcPr>
            <w:tcW w:w="4678" w:type="dxa"/>
            <w:tcBorders>
              <w:top w:val="nil"/>
              <w:left w:val="nil"/>
              <w:bottom w:val="nil"/>
              <w:right w:val="nil"/>
            </w:tcBorders>
          </w:tcPr>
          <w:p>
            <w:pPr>
              <w:pStyle w:val="Normal"/>
              <w:widowControl w:val="false"/>
              <w:suppressAutoHyphens w:val="true"/>
              <w:spacing w:lineRule="auto" w:line="240" w:before="0"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Приложение № 1</w:t>
            </w:r>
          </w:p>
          <w:p>
            <w:pPr>
              <w:pStyle w:val="Normal"/>
              <w:widowControl w:val="false"/>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субсидий по статье «Стимулирование увеличения производства сельскохозяйственной продукции»</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f"/>
        <w:tblW w:w="9565" w:type="dxa"/>
        <w:jc w:val="left"/>
        <w:tblInd w:w="108" w:type="dxa"/>
        <w:tblLayout w:type="fixed"/>
        <w:tblCellMar>
          <w:top w:w="0" w:type="dxa"/>
          <w:left w:w="108" w:type="dxa"/>
          <w:bottom w:w="0" w:type="dxa"/>
          <w:right w:w="108" w:type="dxa"/>
        </w:tblCellMar>
        <w:tblLook w:val="04a0"/>
      </w:tblPr>
      <w:tblGrid>
        <w:gridCol w:w="4727"/>
        <w:gridCol w:w="4837"/>
      </w:tblGrid>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Регистрационный номер и дата регистрации заявления</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Главе Прокопьевского муниципального округа</w:t>
            </w:r>
          </w:p>
        </w:tc>
      </w:tr>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sz w:val="28"/>
              </w:rPr>
            </w:pPr>
            <w:r>
              <w:rPr>
                <w:rFonts w:eastAsia="Calibri" w:cs="Times New Roman" w:ascii="Times New Roman" w:hAnsi="Times New Roman"/>
                <w:kern w:val="0"/>
                <w:sz w:val="28"/>
                <w:szCs w:val="20"/>
                <w:lang w:val="ru-RU" w:eastAsia="ru-RU" w:bidi="ar-SA"/>
              </w:rPr>
              <w:t xml:space="preserve">№ </w:t>
            </w:r>
            <w:r>
              <w:rPr>
                <w:rFonts w:eastAsia="Calibri" w:cs="Times New Roman" w:ascii="Times New Roman" w:hAnsi="Times New Roman"/>
                <w:kern w:val="0"/>
                <w:sz w:val="28"/>
                <w:szCs w:val="20"/>
                <w:lang w:val="ru-RU" w:eastAsia="ru-RU" w:bidi="ar-SA"/>
              </w:rPr>
              <w:t>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 20__ г.</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(заполняется сотрудником администрации)</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_______________________________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_____________________________</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(наименование претендента)</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на участие в отборе на предоставление субсидии </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Прошу предоставить в 20___ году субсидию по статье «Стимулирование увеличения производства сельскохозяйственной продукции» согласно Постановлению администрации Прокопьевского муниципального округа     от  __________   № ___________ «Об утверждении Правил предоставления субсидий по статье «Стимулирование увеличения производства сельскохозяйственной продукции» в _____ году .</w:t>
      </w:r>
    </w:p>
    <w:p>
      <w:pPr>
        <w:pStyle w:val="Normal"/>
        <w:jc w:val="both"/>
        <w:rPr>
          <w:rFonts w:ascii="Times New Roman" w:hAnsi="Times New Roman" w:cs="Times New Roman"/>
          <w:sz w:val="28"/>
          <w:szCs w:val="28"/>
        </w:rPr>
      </w:pPr>
      <w:r>
        <w:rPr>
          <w:rFonts w:cs="Times New Roman" w:ascii="Times New Roman" w:hAnsi="Times New Roman"/>
          <w:sz w:val="28"/>
          <w:szCs w:val="28"/>
        </w:rPr>
        <w:t>Полное наименование участника отбора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ИНН _____________________, КПП (при наличии)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ОГРН (для юридических лиц) 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ОГРИП (для индивидуальных предпринимателей)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ОКВЭД (основной) (гражданином, ведущим личное подсобное хозяйство, </w:t>
        <w:br/>
        <w:t>не указывается) 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СНИЛС (для физических лиц) 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Применяемая система налогообложения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Налогоплательщик НДС (да/нет) 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Юридический адрес (для юридических лиц) 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регистрации (для физических лиц) 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фактического местонахождения________________________________.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Почтовый адрес 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Контактный телефон 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электронной почты 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руководителя участника отбора 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бухгалтера участника отбора (при наличии бухгалтера) 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контактного лица, ответственного за взаимодействие с Министерством сельского хозяйства и перерабатывающей промышленности Кузбасса 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Телефон контактного лица  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Настоящим подтверждаю, что на дату подачи настоящего заявления: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получаю средства из бюджета Прокопьевского муниципального округа в соответствии с иными нормативными актами на цели, установленные пунктом 1.4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 имею просроченной задолженности по возврату в бюджет Прокопьевского муниципального округа иных субсидий, бюджетных инвестиций, а также иной просроченной (неурегулированной) задолженности по денежным обязательствам перед бюджетом Прокопьевского муниципального округа;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являясь юридическим лицом, не нахожусь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привлекался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Даю согласие: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осуществление Администрацией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государственного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публикацию (размещение) в информационно-телекоммуникационной сети «Интернет» информации, связанной с проведением отбора для предоставления субсидии;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обработку персональных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уведомление о принятом решении путем размещения на официальном сайте Админитсрации в информационно-телекоммуникационной сети «Интернет».</w:t>
      </w:r>
    </w:p>
    <w:p>
      <w:pPr>
        <w:pStyle w:val="Normal"/>
        <w:spacing w:lineRule="auto" w:line="240" w:before="0" w:after="0"/>
        <w:ind w:firstLine="709"/>
        <w:jc w:val="both"/>
        <w:rPr>
          <w:rFonts w:ascii="Times New Roman" w:hAnsi="Times New Roman" w:cs="Times New Roman"/>
          <w:sz w:val="28"/>
          <w:szCs w:val="28"/>
        </w:rPr>
      </w:pPr>
      <w:bookmarkStart w:id="15" w:name="_Hlk160875177"/>
      <w:r>
        <w:rPr>
          <w:rFonts w:cs="Times New Roman" w:ascii="Times New Roman" w:hAnsi="Times New Roman"/>
          <w:sz w:val="28"/>
          <w:szCs w:val="28"/>
        </w:rPr>
        <w:t>Подтверждаю, что сведения, указанные в настоящем заявлении, и прилагаемые документы являются полными и достоверными.</w:t>
      </w:r>
      <w:bookmarkEnd w:id="15"/>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Руководитель                ____________               __________________</w:t>
        <w:br/>
        <w:t xml:space="preserve">                                            (подпись)                 (расшифровка подписи)</w:t>
      </w:r>
    </w:p>
    <w:p>
      <w:pPr>
        <w:pStyle w:val="Normal"/>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845" w:gutter="0" w:header="0" w:top="567" w:footer="0" w:bottom="1134"/>
          <w:pgNumType w:fmt="decimal"/>
          <w:formProt w:val="false"/>
          <w:textDirection w:val="lrTb"/>
          <w:docGrid w:type="default" w:linePitch="360" w:charSpace="4096"/>
        </w:sectPr>
        <w:pStyle w:val="Normal"/>
        <w:rPr>
          <w:rFonts w:ascii="Times New Roman" w:hAnsi="Times New Roman" w:cs="Times New Roman"/>
          <w:sz w:val="28"/>
          <w:szCs w:val="28"/>
        </w:rPr>
      </w:pPr>
      <w:r>
        <w:rPr>
          <w:rFonts w:cs="Times New Roman" w:ascii="Times New Roman" w:hAnsi="Times New Roman"/>
          <w:sz w:val="28"/>
          <w:szCs w:val="28"/>
        </w:rPr>
        <w:t>«___»____________ 20__ г.</w:t>
      </w:r>
    </w:p>
    <w:p>
      <w:pPr>
        <w:pStyle w:val="Normal"/>
        <w:widowControl w:val="false"/>
        <w:suppressAutoHyphens w:val="true"/>
        <w:spacing w:lineRule="auto" w:line="240" w:before="0" w:after="0"/>
        <w:jc w:val="right"/>
        <w:rPr>
          <w:sz w:val="20"/>
        </w:rPr>
      </w:pPr>
      <w:r>
        <w:rPr>
          <w:rFonts w:eastAsia="Calibri" w:cs="Times New Roman" w:ascii="Times New Roman" w:hAnsi="Times New Roman"/>
          <w:kern w:val="0"/>
          <w:sz w:val="28"/>
          <w:szCs w:val="28"/>
          <w:lang w:val="ru-RU" w:eastAsia="ru-RU" w:bidi="ar-SA"/>
        </w:rPr>
        <w:t>Приложение № 2</w:t>
      </w:r>
    </w:p>
    <w:p>
      <w:pPr>
        <w:pStyle w:val="Normal"/>
        <w:widowControl w:val="false"/>
        <w:suppressAutoHyphens w:val="true"/>
        <w:spacing w:lineRule="auto" w:line="240" w:before="0" w:after="0"/>
        <w:jc w:val="right"/>
        <w:rPr>
          <w:sz w:val="20"/>
        </w:rPr>
      </w:pPr>
      <w:r>
        <w:rPr>
          <w:rFonts w:eastAsia="Calibri" w:cs="Times New Roman" w:ascii="Times New Roman" w:hAnsi="Times New Roman"/>
          <w:kern w:val="0"/>
          <w:sz w:val="28"/>
          <w:szCs w:val="28"/>
          <w:lang w:val="ru-RU" w:eastAsia="ru-RU" w:bidi="ar-SA"/>
        </w:rPr>
        <w:t>к Правилам предоставления</w:t>
      </w:r>
    </w:p>
    <w:p>
      <w:pPr>
        <w:pStyle w:val="Normal"/>
        <w:widowControl w:val="false"/>
        <w:suppressAutoHyphens w:val="true"/>
        <w:spacing w:lineRule="auto" w:line="240" w:before="0" w:after="0"/>
        <w:jc w:val="right"/>
        <w:rPr>
          <w:sz w:val="20"/>
        </w:rPr>
      </w:pPr>
      <w:r>
        <w:rPr>
          <w:rFonts w:eastAsia="Calibri" w:cs="Times New Roman" w:ascii="Times New Roman" w:hAnsi="Times New Roman"/>
          <w:kern w:val="0"/>
          <w:sz w:val="28"/>
          <w:szCs w:val="28"/>
          <w:lang w:val="ru-RU" w:eastAsia="ru-RU" w:bidi="ar-SA"/>
        </w:rPr>
        <w:t xml:space="preserve"> </w:t>
      </w:r>
      <w:r>
        <w:rPr>
          <w:rFonts w:eastAsia="Calibri" w:cs="Times New Roman" w:ascii="Times New Roman" w:hAnsi="Times New Roman"/>
          <w:kern w:val="0"/>
          <w:sz w:val="28"/>
          <w:szCs w:val="28"/>
          <w:lang w:val="ru-RU" w:eastAsia="ru-RU" w:bidi="ar-SA"/>
        </w:rPr>
        <w:t>субсидий по статье «Стимулирование</w:t>
      </w:r>
    </w:p>
    <w:p>
      <w:pPr>
        <w:pStyle w:val="Normal"/>
        <w:widowControl w:val="false"/>
        <w:suppressAutoHyphens w:val="true"/>
        <w:spacing w:lineRule="auto" w:line="240" w:before="0" w:after="0"/>
        <w:jc w:val="right"/>
        <w:rPr>
          <w:sz w:val="20"/>
        </w:rPr>
      </w:pPr>
      <w:r>
        <w:rPr>
          <w:rFonts w:eastAsia="Calibri" w:cs="Times New Roman" w:ascii="Times New Roman" w:hAnsi="Times New Roman"/>
          <w:kern w:val="0"/>
          <w:sz w:val="28"/>
          <w:szCs w:val="28"/>
          <w:lang w:val="ru-RU" w:eastAsia="ru-RU" w:bidi="ar-SA"/>
        </w:rPr>
        <w:t xml:space="preserve"> </w:t>
      </w:r>
      <w:r>
        <w:rPr>
          <w:rFonts w:eastAsia="Calibri" w:cs="Times New Roman" w:ascii="Times New Roman" w:hAnsi="Times New Roman"/>
          <w:kern w:val="0"/>
          <w:sz w:val="28"/>
          <w:szCs w:val="28"/>
          <w:lang w:val="ru-RU" w:eastAsia="ru-RU" w:bidi="ar-SA"/>
        </w:rPr>
        <w:t>увеличения производства</w:t>
      </w:r>
    </w:p>
    <w:p>
      <w:pPr>
        <w:pStyle w:val="Normal"/>
        <w:widowControl w:val="false"/>
        <w:suppressAutoHyphens w:val="true"/>
        <w:spacing w:lineRule="auto" w:line="240" w:before="0" w:after="0"/>
        <w:jc w:val="right"/>
        <w:rPr>
          <w:sz w:val="20"/>
        </w:rPr>
      </w:pPr>
      <w:r>
        <w:rPr>
          <w:rFonts w:eastAsia="Calibri" w:cs="Times New Roman" w:ascii="Times New Roman" w:hAnsi="Times New Roman"/>
          <w:kern w:val="0"/>
          <w:sz w:val="28"/>
          <w:szCs w:val="28"/>
          <w:lang w:val="ru-RU" w:eastAsia="ru-RU" w:bidi="ar-SA"/>
        </w:rPr>
        <w:t xml:space="preserve"> </w:t>
      </w:r>
      <w:r>
        <w:rPr>
          <w:rFonts w:eastAsia="Calibri" w:cs="Times New Roman" w:ascii="Times New Roman" w:hAnsi="Times New Roman"/>
          <w:kern w:val="0"/>
          <w:sz w:val="28"/>
          <w:szCs w:val="28"/>
          <w:lang w:val="ru-RU" w:eastAsia="ru-RU" w:bidi="ar-SA"/>
        </w:rPr>
        <w:t>сельскохозяйственной продукции»</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Справка-расчет</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o причитающейся субсидии по статье «Стимулирование увеличения производства сельскохозяйственной продукции»</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 ИНН претендента)</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5000" w:type="pct"/>
        <w:jc w:val="left"/>
        <w:tblInd w:w="67" w:type="dxa"/>
        <w:tblLayout w:type="fixed"/>
        <w:tblCellMar>
          <w:top w:w="102" w:type="dxa"/>
          <w:left w:w="62" w:type="dxa"/>
          <w:bottom w:w="102" w:type="dxa"/>
          <w:right w:w="62" w:type="dxa"/>
        </w:tblCellMar>
        <w:tblLook w:val="0000"/>
      </w:tblPr>
      <w:tblGrid>
        <w:gridCol w:w="2568"/>
        <w:gridCol w:w="1315"/>
        <w:gridCol w:w="1694"/>
        <w:gridCol w:w="1579"/>
        <w:gridCol w:w="2184"/>
        <w:gridCol w:w="1828"/>
        <w:gridCol w:w="1662"/>
        <w:gridCol w:w="2152"/>
      </w:tblGrid>
      <w:tr>
        <w:trPr/>
        <w:tc>
          <w:tcPr>
            <w:tcW w:w="256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Наименование сельскохозяйственной техники</w:t>
            </w:r>
          </w:p>
        </w:tc>
        <w:tc>
          <w:tcPr>
            <w:tcW w:w="1315"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Количество ед.</w:t>
            </w:r>
          </w:p>
        </w:tc>
        <w:tc>
          <w:tcPr>
            <w:tcW w:w="1694"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Стоимость приобретения, руб.**</w:t>
            </w:r>
          </w:p>
        </w:tc>
        <w:tc>
          <w:tcPr>
            <w:tcW w:w="1579"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Ставка субсидии, рублей*</w:t>
            </w:r>
          </w:p>
        </w:tc>
        <w:tc>
          <w:tcPr>
            <w:tcW w:w="2184"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Сумма субсидии по ставке (гр. 3 x гр. 4), рублей**</w:t>
            </w:r>
          </w:p>
        </w:tc>
        <w:tc>
          <w:tcPr>
            <w:tcW w:w="3490"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Фактический объем затрат на ведение хозяйственной деятельности **,  рублей</w:t>
            </w:r>
          </w:p>
        </w:tc>
        <w:tc>
          <w:tcPr>
            <w:tcW w:w="215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Сумма субсидии к выплате *</w:t>
            </w:r>
          </w:p>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(наименьшая из граф 4 или 6), рублей</w:t>
            </w:r>
          </w:p>
        </w:tc>
      </w:tr>
      <w:tr>
        <w:trPr/>
        <w:tc>
          <w:tcPr>
            <w:tcW w:w="2568"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1315" w:type="dxa"/>
            <w:vMerge w:val="continue"/>
            <w:tcBorders>
              <w:left w:val="single" w:sz="4" w:space="0" w:color="000000"/>
              <w:bottom w:val="single" w:sz="4" w:space="0" w:color="000000"/>
              <w:right w:val="single" w:sz="4" w:space="0" w:color="000000"/>
            </w:tcBorders>
          </w:tcPr>
          <w:p>
            <w:pPr>
              <w:pStyle w:val="ConsPlusNormal1"/>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1694"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1579"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jc w:val="both"/>
              <w:rPr>
                <w:rFonts w:ascii="Times New Roman" w:hAnsi="Times New Roman" w:cs="Times New Roman"/>
                <w:sz w:val="24"/>
                <w:szCs w:val="24"/>
              </w:rPr>
            </w:pPr>
            <w:r>
              <w:rPr>
                <w:rFonts w:cs="Times New Roman" w:ascii="Times New Roman" w:hAnsi="Times New Roman"/>
                <w:sz w:val="24"/>
                <w:szCs w:val="24"/>
              </w:rPr>
            </w:r>
          </w:p>
        </w:tc>
        <w:tc>
          <w:tcPr>
            <w:tcW w:w="2184" w:type="dxa"/>
            <w:vMerge w:val="continue"/>
            <w:tcBorders>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Всего</w:t>
            </w:r>
          </w:p>
        </w:tc>
        <w:tc>
          <w:tcPr>
            <w:tcW w:w="1662"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90%</w:t>
            </w:r>
          </w:p>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(графы 5)</w:t>
            </w:r>
          </w:p>
        </w:tc>
        <w:tc>
          <w:tcPr>
            <w:tcW w:w="2152"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r>
      <w:tr>
        <w:trPr/>
        <w:tc>
          <w:tcPr>
            <w:tcW w:w="25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2</w:t>
            </w:r>
          </w:p>
        </w:tc>
        <w:tc>
          <w:tcPr>
            <w:tcW w:w="16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3</w:t>
            </w:r>
          </w:p>
        </w:tc>
        <w:tc>
          <w:tcPr>
            <w:tcW w:w="15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4</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5</w:t>
            </w:r>
          </w:p>
        </w:tc>
        <w:tc>
          <w:tcPr>
            <w:tcW w:w="16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7</w:t>
            </w:r>
          </w:p>
        </w:tc>
      </w:tr>
      <w:tr>
        <w:trPr/>
        <w:tc>
          <w:tcPr>
            <w:tcW w:w="2568"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3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694"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579"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c>
          <w:tcPr>
            <w:tcW w:w="2184"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c>
          <w:tcPr>
            <w:tcW w:w="1828"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c>
          <w:tcPr>
            <w:tcW w:w="2152" w:type="dxa"/>
            <w:tcBorders>
              <w:top w:val="single" w:sz="4" w:space="0" w:color="000000"/>
              <w:left w:val="single" w:sz="4" w:space="0" w:color="000000"/>
              <w:bottom w:val="single" w:sz="4" w:space="0" w:color="000000"/>
              <w:right w:val="single" w:sz="4" w:space="0" w:color="000000"/>
            </w:tcBorders>
            <w:vAlign w:val="center"/>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 Заполняется специалистом отдела прогнозирования и учета в сфере АПК.</w:t>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 Для плательщиков налога на добавленную стоимость - без учета налога на добавленную стоимость.</w:t>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Руководитель</w:t>
        <w:tab/>
      </w:r>
      <w:r>
        <w:rPr>
          <w:rFonts w:cs="Times New Roman" w:ascii="Times New Roman" w:hAnsi="Times New Roman"/>
          <w:sz w:val="24"/>
          <w:szCs w:val="24"/>
          <w:u w:val="single"/>
        </w:rPr>
        <w:tab/>
        <w:tab/>
      </w:r>
    </w:p>
    <w:p>
      <w:pPr>
        <w:pStyle w:val="Normal"/>
        <w:spacing w:lineRule="exact" w:line="229"/>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tabs>
          <w:tab w:val="clear" w:pos="708"/>
          <w:tab w:val="left" w:pos="4754" w:leader="none"/>
          <w:tab w:val="left" w:pos="7624" w:leader="none"/>
        </w:tabs>
        <w:spacing w:lineRule="exact" w:line="321" w:before="88" w:after="200"/>
        <w:ind w:left="124" w:hanging="0"/>
        <w:rPr>
          <w:rFonts w:ascii="Times New Roman" w:hAnsi="Times New Roman" w:cs="Times New Roman"/>
          <w:sz w:val="24"/>
          <w:szCs w:val="24"/>
        </w:rPr>
      </w:pPr>
      <w:r>
        <w:rPr>
          <w:rFonts w:cs="Times New Roman" w:ascii="Times New Roman" w:hAnsi="Times New Roman"/>
          <w:sz w:val="24"/>
          <w:szCs w:val="24"/>
        </w:rPr>
        <w:t xml:space="preserve">Главный бухгалтер  </w:t>
      </w:r>
      <w:r>
        <w:rPr>
          <w:rFonts w:cs="Times New Roman" w:ascii="Times New Roman" w:hAnsi="Times New Roman"/>
          <w:sz w:val="24"/>
          <w:szCs w:val="24"/>
          <w:u w:val="single"/>
        </w:rPr>
        <w:tab/>
        <w:tab/>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lang w:eastAsia="ru-RU"/>
        </w:rPr>
      </w:pPr>
      <w:r>
        <w:rPr>
          <w:rFonts w:cs="Times New Roman" w:ascii="Times New Roman" w:hAnsi="Times New Roman"/>
          <w:position w:val="-3"/>
          <w:sz w:val="24"/>
          <w:szCs w:val="24"/>
          <w:lang w:eastAsia="ru-RU"/>
        </w:rPr>
        <w:t xml:space="preserve">                                                   </w:t>
      </w:r>
      <w:r>
        <w:rPr>
          <w:rFonts w:cs="Times New Roman" w:ascii="Times New Roman" w:hAnsi="Times New Roman"/>
          <w:position w:val="-3"/>
          <w:sz w:val="24"/>
          <w:szCs w:val="24"/>
          <w:lang w:eastAsia="ru-RU"/>
        </w:rPr>
        <w:t xml:space="preserve">(подпись)                (расшифровка подписи)                      </w:t>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rPr>
      </w:pPr>
      <w:r>
        <w:rPr>
          <w:rFonts w:cs="Times New Roman" w:ascii="Times New Roman" w:hAnsi="Times New Roman"/>
          <w:sz w:val="24"/>
          <w:szCs w:val="24"/>
        </w:rPr>
        <w:t>MП(приналичии)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Style19"/>
        <w:spacing w:before="11" w:after="0"/>
        <w:rPr>
          <w:sz w:val="24"/>
          <w:szCs w:val="24"/>
        </w:rPr>
      </w:pPr>
      <w:r>
        <w:rPr>
          <w:sz w:val="24"/>
          <w:szCs w:val="24"/>
        </w:rPr>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Заместитель главы</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округа по сельскому хозяйству </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Прокопьевского муниципального округа</w:t>
      </w:r>
      <w:r>
        <w:rPr>
          <w:rFonts w:cs="Times New Roman" w:ascii="Times New Roman" w:hAnsi="Times New Roman"/>
          <w:sz w:val="24"/>
          <w:szCs w:val="24"/>
          <w:u w:val="single"/>
        </w:rPr>
        <w:tab/>
        <w:tab/>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(расшифровкаподписи)</w:t>
      </w:r>
    </w:p>
    <w:p>
      <w:pPr>
        <w:pStyle w:val="ConsPlusNonformat"/>
        <w:rPr>
          <w:rFonts w:ascii="Times New Roman" w:hAnsi="Times New Roman" w:cs="Times New Roman"/>
          <w:sz w:val="24"/>
          <w:szCs w:val="24"/>
        </w:rPr>
      </w:pPr>
      <w:r>
        <w:rPr>
          <w:rFonts w:cs="Times New Roman" w:ascii="Times New Roman" w:hAnsi="Times New Roman"/>
          <w:sz w:val="24"/>
          <w:szCs w:val="24"/>
        </w:rPr>
        <w:t>Начальник отдела прогнозирования</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и учета в сфере АПК</w:t>
      </w:r>
      <w:r>
        <w:rPr>
          <w:rFonts w:cs="Times New Roman" w:ascii="Times New Roman" w:hAnsi="Times New Roman"/>
          <w:sz w:val="24"/>
          <w:szCs w:val="24"/>
          <w:u w:val="single"/>
        </w:rPr>
        <w:tab/>
        <w:tab/>
      </w:r>
    </w:p>
    <w:p>
      <w:pPr>
        <w:pStyle w:val="Normal"/>
        <w:spacing w:before="2" w:after="200"/>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spacing w:before="2" w:after="200"/>
        <w:jc w:val="right"/>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right"/>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right"/>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right"/>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right"/>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jc w:val="right"/>
        <w:rPr>
          <w:rFonts w:ascii="Times New Roman" w:hAnsi="Times New Roman" w:cs="Times New Roman"/>
          <w:sz w:val="24"/>
          <w:szCs w:val="24"/>
        </w:rPr>
      </w:pPr>
      <w:r>
        <w:rPr>
          <w:rFonts w:cs="Times New Roman" w:ascii="Times New Roman" w:hAnsi="Times New Roman"/>
          <w:sz w:val="24"/>
          <w:szCs w:val="24"/>
        </w:rPr>
      </w:r>
    </w:p>
    <w:p>
      <w:pPr>
        <w:sectPr>
          <w:type w:val="nextPage"/>
          <w:pgSz w:orient="landscape" w:w="16838" w:h="11906"/>
          <w:pgMar w:left="720" w:right="1134" w:gutter="0" w:header="0" w:top="1701" w:footer="0" w:bottom="851"/>
          <w:pgNumType w:fmt="decimal"/>
          <w:formProt w:val="false"/>
          <w:textDirection w:val="lrTb"/>
          <w:docGrid w:type="default" w:linePitch="360" w:charSpace="4096"/>
        </w:sectPr>
        <w:pStyle w:val="Normal"/>
        <w:rPr/>
      </w:pPr>
      <w:r>
        <w:rPr/>
      </w:r>
    </w:p>
    <w:tbl>
      <w:tblPr>
        <w:tblStyle w:val="af"/>
        <w:tblW w:w="14796" w:type="dxa"/>
        <w:jc w:val="left"/>
        <w:tblInd w:w="108" w:type="dxa"/>
        <w:tblLayout w:type="fixed"/>
        <w:tblCellMar>
          <w:top w:w="0" w:type="dxa"/>
          <w:left w:w="108" w:type="dxa"/>
          <w:bottom w:w="0" w:type="dxa"/>
          <w:right w:w="108" w:type="dxa"/>
        </w:tblCellMar>
        <w:tblLook w:val="04a0"/>
      </w:tblPr>
      <w:tblGrid>
        <w:gridCol w:w="8608"/>
        <w:gridCol w:w="6187"/>
      </w:tblGrid>
      <w:tr>
        <w:trPr>
          <w:trHeight w:val="1956" w:hRule="atLeast"/>
        </w:trPr>
        <w:tc>
          <w:tcPr>
            <w:tcW w:w="8608" w:type="dxa"/>
            <w:tcBorders>
              <w:top w:val="nil"/>
              <w:left w:val="nil"/>
              <w:bottom w:val="nil"/>
              <w:right w:val="nil"/>
            </w:tcBorders>
          </w:tcPr>
          <w:p>
            <w:pPr>
              <w:pStyle w:val="Normal"/>
              <w:widowControl w:val="false"/>
              <w:suppressAutoHyphens w:val="true"/>
              <w:spacing w:lineRule="auto" w:line="276" w:before="2" w:after="200"/>
              <w:jc w:val="right"/>
              <w:rPr>
                <w:rFonts w:ascii="Times New Roman" w:hAnsi="Times New Roman" w:eastAsia="Calibri" w:eastAsiaTheme="minorHAnsi"/>
                <w:sz w:val="28"/>
                <w:szCs w:val="28"/>
                <w:lang w:eastAsia="en-US"/>
              </w:rPr>
            </w:pPr>
            <w:r>
              <w:rPr>
                <w:rFonts w:eastAsia="Calibri" w:eastAsiaTheme="minorHAnsi" w:ascii="Times New Roman" w:hAnsi="Times New Roman"/>
                <w:sz w:val="28"/>
                <w:szCs w:val="28"/>
                <w:lang w:eastAsia="en-US"/>
              </w:rPr>
            </w:r>
          </w:p>
        </w:tc>
        <w:tc>
          <w:tcPr>
            <w:tcW w:w="6187" w:type="dxa"/>
            <w:tcBorders>
              <w:top w:val="nil"/>
              <w:left w:val="nil"/>
              <w:bottom w:val="nil"/>
              <w:right w:val="nil"/>
            </w:tcBorders>
          </w:tcPr>
          <w:p>
            <w:pPr>
              <w:pStyle w:val="Normal"/>
              <w:widowControl w:val="false"/>
              <w:suppressAutoHyphens w:val="true"/>
              <w:spacing w:lineRule="auto" w:line="276" w:before="2" w:after="200"/>
              <w:jc w:val="right"/>
              <w:rPr>
                <w:rFonts w:ascii="Times New Roman" w:hAnsi="Times New Roman" w:eastAsia="Calibri" w:eastAsiaTheme="minorHAnsi"/>
                <w:sz w:val="28"/>
                <w:szCs w:val="28"/>
                <w:lang w:eastAsia="en-US"/>
              </w:rPr>
            </w:pPr>
            <w:r>
              <w:rPr>
                <w:rFonts w:eastAsia="Calibri" w:cs="Times New Roman" w:ascii="Times New Roman" w:hAnsi="Times New Roman" w:eastAsiaTheme="minorHAnsi"/>
                <w:kern w:val="0"/>
                <w:sz w:val="28"/>
                <w:szCs w:val="28"/>
                <w:lang w:val="ru-RU" w:eastAsia="en-US" w:bidi="ar-SA"/>
              </w:rPr>
              <w:t>Приложение № 3</w:t>
            </w:r>
          </w:p>
          <w:p>
            <w:pPr>
              <w:pStyle w:val="Normal"/>
              <w:widowControl w:val="false"/>
              <w:suppressAutoHyphens w:val="true"/>
              <w:spacing w:lineRule="auto" w:line="276" w:before="2" w:after="200"/>
              <w:jc w:val="right"/>
              <w:rPr>
                <w:rFonts w:ascii="Times New Roman" w:hAnsi="Times New Roman" w:eastAsia="Calibri" w:eastAsiaTheme="minorHAnsi"/>
                <w:sz w:val="28"/>
                <w:szCs w:val="28"/>
                <w:lang w:eastAsia="en-US"/>
              </w:rPr>
            </w:pPr>
            <w:r>
              <w:rPr>
                <w:rFonts w:eastAsia="Calibri" w:cs="Times New Roman" w:ascii="Times New Roman" w:hAnsi="Times New Roman" w:eastAsiaTheme="minorHAnsi"/>
                <w:kern w:val="0"/>
                <w:sz w:val="28"/>
                <w:szCs w:val="28"/>
                <w:lang w:val="ru-RU" w:eastAsia="en-US" w:bidi="ar-SA"/>
              </w:rPr>
              <w:t>к Правилам предоставления субсидий по статье «Стимулирование увеличения производства сельскохозяйственной продукции»</w:t>
            </w:r>
          </w:p>
        </w:tc>
      </w:tr>
    </w:tbl>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Отчет</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o фактически произведенных затратах на приобретение сельскохозяйственной техники для сельскохозяйственного производства за отчетный период  _________________________________________________________________________________</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(наименование, ИНН претендента)</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tbl>
      <w:tblPr>
        <w:tblStyle w:val="TableNormal"/>
        <w:tblW w:w="14736" w:type="dxa"/>
        <w:jc w:val="left"/>
        <w:tblInd w:w="225" w:type="dxa"/>
        <w:tblLayout w:type="fixed"/>
        <w:tblCellMar>
          <w:top w:w="0" w:type="dxa"/>
          <w:left w:w="7" w:type="dxa"/>
          <w:bottom w:w="0" w:type="dxa"/>
          <w:right w:w="7" w:type="dxa"/>
        </w:tblCellMar>
        <w:tblLook w:val="01e0"/>
      </w:tblPr>
      <w:tblGrid>
        <w:gridCol w:w="570"/>
        <w:gridCol w:w="3564"/>
        <w:gridCol w:w="12"/>
        <w:gridCol w:w="2386"/>
        <w:gridCol w:w="1270"/>
        <w:gridCol w:w="2001"/>
        <w:gridCol w:w="1993"/>
        <w:gridCol w:w="1355"/>
        <w:gridCol w:w="1583"/>
      </w:tblGrid>
      <w:tr>
        <w:trPr>
          <w:trHeight w:val="642" w:hRule="atLeast"/>
        </w:trPr>
        <w:tc>
          <w:tcPr>
            <w:tcW w:w="57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п/п</w:t>
            </w:r>
          </w:p>
        </w:tc>
        <w:tc>
          <w:tcPr>
            <w:tcW w:w="356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Произведенных</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затрат</w:t>
            </w:r>
          </w:p>
        </w:tc>
        <w:tc>
          <w:tcPr>
            <w:tcW w:w="5669"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являющиеся основанием произведенных расходов</w:t>
            </w:r>
          </w:p>
        </w:tc>
        <w:tc>
          <w:tcPr>
            <w:tcW w:w="4931"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подтверждающие оплату произведенных затрат</w:t>
            </w:r>
          </w:p>
        </w:tc>
      </w:tr>
      <w:tr>
        <w:trPr>
          <w:trHeight w:val="1237" w:hRule="atLeast"/>
        </w:trPr>
        <w:tc>
          <w:tcPr>
            <w:tcW w:w="57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3564"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39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документа</w:t>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(стоимость товаров, работ, услуг)*</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рублей</w:t>
            </w:r>
          </w:p>
        </w:tc>
        <w:tc>
          <w:tcPr>
            <w:tcW w:w="199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платежного</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документа</w:t>
            </w:r>
          </w:p>
        </w:tc>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158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фактических затрат *,  рублей</w:t>
            </w:r>
          </w:p>
        </w:tc>
      </w:tr>
      <w:tr>
        <w:trPr>
          <w:trHeight w:val="311" w:hRule="atLeast"/>
        </w:trPr>
        <w:tc>
          <w:tcPr>
            <w:tcW w:w="5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9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3</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199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58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546" w:hRule="atLeast"/>
        </w:trPr>
        <w:tc>
          <w:tcPr>
            <w:tcW w:w="5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Приобретение сельскохозяйственной техники</w:t>
            </w:r>
          </w:p>
        </w:tc>
        <w:tc>
          <w:tcPr>
            <w:tcW w:w="239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99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58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498" w:hRule="atLeast"/>
        </w:trPr>
        <w:tc>
          <w:tcPr>
            <w:tcW w:w="5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1.1</w:t>
            </w:r>
          </w:p>
        </w:tc>
        <w:tc>
          <w:tcPr>
            <w:tcW w:w="35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9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99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58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550" w:hRule="atLeast"/>
        </w:trPr>
        <w:tc>
          <w:tcPr>
            <w:tcW w:w="5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3576"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99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58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825" w:hRule="atLeast"/>
        </w:trPr>
        <w:tc>
          <w:tcPr>
            <w:tcW w:w="5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2.1.</w:t>
            </w:r>
          </w:p>
        </w:tc>
        <w:tc>
          <w:tcPr>
            <w:tcW w:w="3576"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00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99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35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58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exact" w:line="310" w:before="0" w:after="0"/>
        <w:ind w:left="228"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*Для плательщиков налога на добавленную стоимость (без учета налога на добавленную стоимость).</w:t>
      </w:r>
    </w:p>
    <w:p>
      <w:pPr>
        <w:pStyle w:val="Normal"/>
        <w:widowControl w:val="false"/>
        <w:spacing w:lineRule="auto" w:line="240" w:before="4" w:after="0"/>
        <w:rPr>
          <w:rFonts w:ascii="Times New Roman" w:hAnsi="Times New Roman" w:eastAsia="Times New Roman" w:cs="Times New Roman"/>
          <w:sz w:val="28"/>
          <w:szCs w:val="29"/>
        </w:rPr>
      </w:pPr>
      <w:r>
        <w:rPr>
          <w:rFonts w:eastAsia="Times New Roman" w:cs="Times New Roman" w:ascii="Times New Roman" w:hAnsi="Times New Roman"/>
          <w:sz w:val="28"/>
          <w:szCs w:val="29"/>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Руководитель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Главный бухгалтер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t xml:space="preserve">       </w:t>
      </w:r>
      <w:r>
        <w:rPr>
          <w:rFonts w:cs="Times New Roman" w:ascii="Times New Roman" w:hAnsi="Times New Roman"/>
          <w:sz w:val="24"/>
          <w:szCs w:val="24"/>
        </w:rPr>
        <w:t xml:space="preserve">20 </w:t>
      </w:r>
      <w:r>
        <w:rPr>
          <w:rFonts w:cs="Times New Roman" w:ascii="Times New Roman" w:hAnsi="Times New Roman"/>
          <w:sz w:val="24"/>
          <w:szCs w:val="24"/>
          <w:u w:val="single"/>
        </w:rPr>
        <w:tab/>
      </w:r>
      <w:r>
        <w:rPr>
          <w:rFonts w:cs="Times New Roman" w:ascii="Times New Roman" w:hAnsi="Times New Roman"/>
          <w:sz w:val="24"/>
          <w:szCs w:val="24"/>
        </w:rPr>
        <w:t>г.</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rPr/>
      </w:pPr>
      <w:r>
        <w:rPr/>
      </w:r>
    </w:p>
    <w:p>
      <w:pPr>
        <w:sectPr>
          <w:type w:val="nextPage"/>
          <w:pgSz w:orient="landscape" w:w="16838" w:h="11906"/>
          <w:pgMar w:left="720" w:right="1134" w:gutter="0" w:header="0" w:top="1701" w:footer="0" w:bottom="851"/>
          <w:pgNumType w:fmt="decimal"/>
          <w:formProt w:val="false"/>
          <w:textDirection w:val="lrTb"/>
          <w:docGrid w:type="default" w:linePitch="360" w:charSpace="4096"/>
        </w:sectPr>
        <w:pStyle w:val="Normal"/>
        <w:rPr/>
      </w:pPr>
      <w:r>
        <w:rPr/>
      </w:r>
    </w:p>
    <w:p>
      <w:pPr>
        <w:pStyle w:val="Normal"/>
        <w:widowControl/>
        <w:suppressAutoHyphens w:val="true"/>
        <w:bidi w:val="0"/>
        <w:spacing w:lineRule="auto" w:line="276" w:before="2" w:after="200"/>
        <w:ind w:left="0" w:right="454" w:hanging="0"/>
        <w:jc w:val="right"/>
        <w:rPr>
          <w:rFonts w:ascii="Times New Roman" w:hAnsi="Times New Roman"/>
          <w:sz w:val="28"/>
          <w:szCs w:val="28"/>
        </w:rPr>
      </w:pPr>
      <w:r>
        <w:rPr>
          <w:rFonts w:ascii="Times New Roman" w:hAnsi="Times New Roman"/>
          <w:sz w:val="28"/>
          <w:szCs w:val="28"/>
        </w:rPr>
        <w:t>Приложение № 4</w:t>
      </w:r>
    </w:p>
    <w:tbl>
      <w:tblPr>
        <w:tblStyle w:val="af"/>
        <w:tblW w:w="5556" w:type="dxa"/>
        <w:jc w:val="left"/>
        <w:tblInd w:w="3477" w:type="dxa"/>
        <w:tblLayout w:type="fixed"/>
        <w:tblCellMar>
          <w:top w:w="0" w:type="dxa"/>
          <w:left w:w="108" w:type="dxa"/>
          <w:bottom w:w="0" w:type="dxa"/>
          <w:right w:w="108" w:type="dxa"/>
        </w:tblCellMar>
        <w:tblLook w:val="04a0"/>
      </w:tblPr>
      <w:tblGrid>
        <w:gridCol w:w="5556"/>
      </w:tblGrid>
      <w:tr>
        <w:trPr>
          <w:trHeight w:val="1118" w:hRule="atLeast"/>
        </w:trPr>
        <w:tc>
          <w:tcPr>
            <w:tcW w:w="5556" w:type="dxa"/>
            <w:tcBorders>
              <w:top w:val="nil"/>
              <w:left w:val="nil"/>
              <w:bottom w:val="nil"/>
              <w:right w:val="nil"/>
            </w:tcBorders>
          </w:tcPr>
          <w:p>
            <w:pPr>
              <w:pStyle w:val="Normal"/>
              <w:widowControl w:val="false"/>
              <w:suppressAutoHyphens w:val="true"/>
              <w:spacing w:lineRule="auto" w:line="240" w:before="2"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субсидий по статье «Стимулирование увеличения производства</w:t>
            </w:r>
          </w:p>
          <w:p>
            <w:pPr>
              <w:pStyle w:val="Normal"/>
              <w:widowControl w:val="false"/>
              <w:suppressAutoHyphens w:val="true"/>
              <w:spacing w:lineRule="auto" w:line="240" w:before="2"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 xml:space="preserve"> </w:t>
            </w:r>
            <w:r>
              <w:rPr>
                <w:rFonts w:eastAsia="Calibri" w:cs="Times New Roman" w:ascii="Times New Roman" w:hAnsi="Times New Roman"/>
                <w:kern w:val="0"/>
                <w:sz w:val="28"/>
                <w:szCs w:val="28"/>
                <w:lang w:val="ru-RU" w:eastAsia="ru-RU" w:bidi="ar-SA"/>
              </w:rPr>
              <w:t>сельскохозяйственной продукции»</w:t>
            </w:r>
          </w:p>
        </w:tc>
      </w:tr>
    </w:tbl>
    <w:p>
      <w:pPr>
        <w:pStyle w:val="Normal"/>
        <w:spacing w:before="2" w:after="200"/>
        <w:jc w:val="right"/>
        <w:rPr>
          <w:rFonts w:ascii="Times New Roman" w:hAnsi="Times New Roman"/>
          <w:sz w:val="28"/>
          <w:szCs w:val="28"/>
        </w:rPr>
      </w:pPr>
      <w:r>
        <w:rPr>
          <w:rFonts w:ascii="Times New Roman" w:hAnsi="Times New Roman"/>
          <w:sz w:val="28"/>
          <w:szCs w:val="28"/>
        </w:rPr>
      </w:r>
    </w:p>
    <w:p>
      <w:pPr>
        <w:pStyle w:val="Normal"/>
        <w:widowControl w:val="false"/>
        <w:spacing w:lineRule="auto" w:line="240" w:before="89" w:after="0"/>
        <w:ind w:left="1080" w:right="1012" w:hanging="0"/>
        <w:jc w:val="center"/>
        <w:rPr>
          <w:rFonts w:ascii="Times New Roman" w:hAnsi="Times New Roman" w:eastAsia="Times New Roman" w:cs="Times New Roman"/>
          <w:sz w:val="28"/>
        </w:rPr>
      </w:pPr>
      <w:r>
        <w:rPr>
          <w:rFonts w:eastAsia="Times New Roman" w:cs="Times New Roman" w:ascii="Times New Roman" w:hAnsi="Times New Roman"/>
          <w:sz w:val="28"/>
        </w:rPr>
      </w:r>
    </w:p>
    <w:p>
      <w:pPr>
        <w:pStyle w:val="Normal"/>
        <w:widowControl w:val="false"/>
        <w:spacing w:lineRule="auto" w:line="240" w:before="89" w:after="0"/>
        <w:ind w:left="1080" w:right="1012" w:hanging="0"/>
        <w:jc w:val="center"/>
        <w:rPr>
          <w:rFonts w:ascii="Times New Roman" w:hAnsi="Times New Roman" w:eastAsia="Times New Roman" w:cs="Times New Roman"/>
          <w:sz w:val="28"/>
        </w:rPr>
      </w:pPr>
      <w:r>
        <w:rPr>
          <w:rFonts w:eastAsia="Times New Roman" w:cs="Times New Roman" w:ascii="Times New Roman" w:hAnsi="Times New Roman"/>
          <w:sz w:val="28"/>
        </w:rPr>
        <w:t>Размер ставки для расчета субсидии</w:t>
      </w:r>
    </w:p>
    <w:p>
      <w:pPr>
        <w:pStyle w:val="Normal"/>
        <w:widowControl w:val="false"/>
        <w:spacing w:lineRule="auto" w:line="240" w:before="89" w:after="0"/>
        <w:ind w:left="1080" w:right="1012" w:hanging="0"/>
        <w:jc w:val="center"/>
        <w:rPr>
          <w:rFonts w:ascii="Times New Roman" w:hAnsi="Times New Roman" w:eastAsia="Times New Roman" w:cs="Times New Roman"/>
          <w:sz w:val="28"/>
        </w:rPr>
      </w:pPr>
      <w:r>
        <w:rPr>
          <w:rFonts w:eastAsia="Times New Roman" w:cs="Times New Roman" w:ascii="Times New Roman" w:hAnsi="Times New Roman"/>
          <w:sz w:val="28"/>
        </w:rPr>
      </w:r>
    </w:p>
    <w:p>
      <w:pPr>
        <w:pStyle w:val="Normal"/>
        <w:widowControl w:val="false"/>
        <w:spacing w:lineRule="auto" w:line="240" w:before="89" w:after="0"/>
        <w:ind w:left="1080" w:right="1012" w:hanging="0"/>
        <w:jc w:val="center"/>
        <w:rPr>
          <w:rFonts w:ascii="Times New Roman" w:hAnsi="Times New Roman" w:eastAsia="Times New Roman" w:cs="Times New Roman"/>
          <w:sz w:val="28"/>
        </w:rPr>
      </w:pPr>
      <w:r>
        <w:rPr>
          <w:rFonts w:eastAsia="Times New Roman" w:cs="Times New Roman" w:ascii="Times New Roman" w:hAnsi="Times New Roman"/>
          <w:sz w:val="28"/>
        </w:rPr>
      </w:r>
    </w:p>
    <w:tbl>
      <w:tblPr>
        <w:tblW w:w="9012" w:type="dxa"/>
        <w:jc w:val="left"/>
        <w:tblInd w:w="113" w:type="dxa"/>
        <w:tblLayout w:type="fixed"/>
        <w:tblCellMar>
          <w:top w:w="0" w:type="dxa"/>
          <w:left w:w="108" w:type="dxa"/>
          <w:bottom w:w="0" w:type="dxa"/>
          <w:right w:w="108" w:type="dxa"/>
        </w:tblCellMar>
        <w:tblLook w:val="01e0"/>
      </w:tblPr>
      <w:tblGrid>
        <w:gridCol w:w="6202"/>
        <w:gridCol w:w="2809"/>
      </w:tblGrid>
      <w:tr>
        <w:trPr/>
        <w:tc>
          <w:tcPr>
            <w:tcW w:w="62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Вид техники</w:t>
            </w:r>
          </w:p>
        </w:tc>
        <w:tc>
          <w:tcPr>
            <w:tcW w:w="28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Ставка за 1 единицу, голову                         (тыс. руб.)</w:t>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Самоходная косилка в комплекте с жаткой от 7 м.</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1 000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Комбайн зерноуборочный мощностью 240 л.с. и выше</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2 000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Трактор мощностью 300 л.с. и выше</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1 200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Комбайн зерноуборочный РСМ-161</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3 000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val="en-US" w:eastAsia="ru-RU"/>
              </w:rPr>
            </w:pPr>
            <w:r>
              <w:rPr>
                <w:rFonts w:eastAsia="Times New Roman" w:cs="Times New Roman" w:ascii="Times New Roman" w:hAnsi="Times New Roman"/>
                <w:sz w:val="28"/>
                <w:szCs w:val="28"/>
                <w:lang w:eastAsia="ru-RU"/>
              </w:rPr>
              <w:t xml:space="preserve">Опрыскиватель </w:t>
            </w:r>
            <w:r>
              <w:rPr>
                <w:rFonts w:eastAsia="Times New Roman" w:cs="Times New Roman" w:ascii="Times New Roman" w:hAnsi="Times New Roman"/>
                <w:sz w:val="28"/>
                <w:szCs w:val="28"/>
                <w:lang w:val="en-US" w:eastAsia="ru-RU"/>
              </w:rPr>
              <w:t>John Deere M4040</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val="en-US" w:eastAsia="ru-RU"/>
              </w:rPr>
            </w:pPr>
            <w:r>
              <w:rPr>
                <w:rFonts w:eastAsia="Times New Roman" w:cs="Times New Roman" w:ascii="Times New Roman" w:hAnsi="Times New Roman"/>
                <w:sz w:val="28"/>
                <w:szCs w:val="28"/>
                <w:lang w:val="en-US" w:eastAsia="ru-RU"/>
              </w:rPr>
              <w:t>15 000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Борона дисковая складная БДС-8</w:t>
            </w:r>
            <w:r>
              <w:rPr>
                <w:rFonts w:eastAsia="Times New Roman" w:cs="Times New Roman" w:ascii="Times New Roman" w:hAnsi="Times New Roman"/>
                <w:sz w:val="28"/>
                <w:szCs w:val="28"/>
                <w:lang w:val="en-US" w:eastAsia="ru-RU"/>
              </w:rPr>
              <w:t>x</w:t>
            </w:r>
            <w:r>
              <w:rPr>
                <w:rFonts w:eastAsia="Times New Roman" w:cs="Times New Roman" w:ascii="Times New Roman" w:hAnsi="Times New Roman"/>
                <w:sz w:val="28"/>
                <w:szCs w:val="28"/>
                <w:lang w:eastAsia="ru-RU"/>
              </w:rPr>
              <w:t>2П со сдвоенным катком</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2 300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Борона дисковая тяжелая повышенного ресурса эксплуатации БДТ-6ПР</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2 000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Борона полуприцепная мелиоративная БПМ-5</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2 500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Загрузчик семян </w:t>
            </w:r>
            <w:r>
              <w:rPr>
                <w:rFonts w:eastAsia="Times New Roman" w:cs="Times New Roman" w:ascii="Times New Roman" w:hAnsi="Times New Roman"/>
                <w:sz w:val="28"/>
                <w:szCs w:val="28"/>
                <w:lang w:val="en-US" w:eastAsia="ru-RU"/>
              </w:rPr>
              <w:t>John Deere</w:t>
            </w:r>
            <w:r>
              <w:rPr>
                <w:rFonts w:eastAsia="Times New Roman" w:cs="Times New Roman" w:ascii="Times New Roman" w:hAnsi="Times New Roman"/>
                <w:sz w:val="28"/>
                <w:szCs w:val="28"/>
                <w:lang w:eastAsia="ru-RU"/>
              </w:rPr>
              <w:t xml:space="preserve"> 1910</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5 000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Погрузчик фронтальный </w:t>
            </w:r>
            <w:r>
              <w:rPr>
                <w:rFonts w:eastAsia="Times New Roman" w:cs="Times New Roman" w:ascii="Times New Roman" w:hAnsi="Times New Roman"/>
                <w:sz w:val="28"/>
                <w:szCs w:val="28"/>
                <w:lang w:val="en-US" w:eastAsia="ru-RU"/>
              </w:rPr>
              <w:t>LOVOLFL</w:t>
            </w:r>
            <w:r>
              <w:rPr>
                <w:rFonts w:eastAsia="Times New Roman" w:cs="Times New Roman" w:ascii="Times New Roman" w:hAnsi="Times New Roman"/>
                <w:sz w:val="28"/>
                <w:szCs w:val="28"/>
                <w:lang w:eastAsia="ru-RU"/>
              </w:rPr>
              <w:t xml:space="preserve"> 955</w:t>
            </w:r>
            <w:r>
              <w:rPr>
                <w:rFonts w:eastAsia="Times New Roman" w:cs="Times New Roman" w:ascii="Times New Roman" w:hAnsi="Times New Roman"/>
                <w:sz w:val="28"/>
                <w:szCs w:val="28"/>
                <w:lang w:val="en-US" w:eastAsia="ru-RU"/>
              </w:rPr>
              <w:t>H</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5 500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Борона средняя пружинная </w:t>
            </w:r>
            <w:r>
              <w:rPr>
                <w:rFonts w:eastAsia="Times New Roman" w:cs="Times New Roman" w:ascii="Times New Roman" w:hAnsi="Times New Roman"/>
                <w:sz w:val="28"/>
                <w:szCs w:val="28"/>
                <w:lang w:val="en-US" w:eastAsia="ru-RU"/>
              </w:rPr>
              <w:t>VELES</w:t>
            </w:r>
            <w:r>
              <w:rPr>
                <w:rFonts w:eastAsia="Times New Roman" w:cs="Times New Roman" w:ascii="Times New Roman" w:hAnsi="Times New Roman"/>
                <w:sz w:val="28"/>
                <w:szCs w:val="28"/>
                <w:lang w:eastAsia="ru-RU"/>
              </w:rPr>
              <w:t xml:space="preserve"> БС-24.М</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Трактор Беларус 82.1</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1 500</w:t>
            </w:r>
          </w:p>
        </w:tc>
      </w:tr>
      <w:tr>
        <w:trPr/>
        <w:tc>
          <w:tcPr>
            <w:tcW w:w="62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Сеялка пневматическая дисковая </w:t>
            </w:r>
            <w:r>
              <w:rPr>
                <w:rFonts w:eastAsia="Times New Roman" w:cs="Times New Roman" w:ascii="Times New Roman" w:hAnsi="Times New Roman"/>
                <w:sz w:val="28"/>
                <w:szCs w:val="28"/>
                <w:lang w:val="en-US" w:eastAsia="ru-RU"/>
              </w:rPr>
              <w:t>JohnDeere</w:t>
            </w:r>
            <w:r>
              <w:rPr>
                <w:rFonts w:eastAsia="Times New Roman" w:cs="Times New Roman" w:ascii="Times New Roman" w:hAnsi="Times New Roman"/>
                <w:sz w:val="28"/>
                <w:szCs w:val="28"/>
                <w:lang w:eastAsia="ru-RU"/>
              </w:rPr>
              <w:t xml:space="preserve"> № 543</w:t>
            </w:r>
            <w:r>
              <w:rPr>
                <w:rFonts w:eastAsia="Times New Roman" w:cs="Times New Roman" w:ascii="Times New Roman" w:hAnsi="Times New Roman"/>
                <w:sz w:val="28"/>
                <w:szCs w:val="28"/>
                <w:lang w:val="en-US" w:eastAsia="ru-RU"/>
              </w:rPr>
              <w:t>F</w:t>
            </w:r>
          </w:p>
        </w:tc>
        <w:tc>
          <w:tcPr>
            <w:tcW w:w="28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val="en-US" w:eastAsia="ru-RU"/>
              </w:rPr>
              <w:t xml:space="preserve">1 </w:t>
            </w:r>
            <w:r>
              <w:rPr>
                <w:rFonts w:eastAsia="Times New Roman" w:cs="Times New Roman" w:ascii="Times New Roman" w:hAnsi="Times New Roman"/>
                <w:sz w:val="28"/>
                <w:szCs w:val="28"/>
                <w:lang w:eastAsia="ru-RU"/>
              </w:rPr>
              <w:t>640</w:t>
            </w:r>
          </w:p>
        </w:tc>
      </w:tr>
    </w:tbl>
    <w:p>
      <w:pPr>
        <w:sectPr>
          <w:type w:val="nextPage"/>
          <w:pgSz w:w="11906" w:h="16838"/>
          <w:pgMar w:left="1701" w:right="851" w:gutter="0" w:header="0" w:top="1134" w:footer="0" w:bottom="720"/>
          <w:pgNumType w:fmt="decimal"/>
          <w:formProt w:val="false"/>
          <w:textDirection w:val="lrTb"/>
          <w:docGrid w:type="default" w:linePitch="360" w:charSpace="4096"/>
        </w:sectPr>
      </w:pPr>
    </w:p>
    <w:p>
      <w:pPr>
        <w:pStyle w:val="Normal"/>
        <w:widowControl/>
        <w:suppressAutoHyphens w:val="true"/>
        <w:bidi w:val="0"/>
        <w:spacing w:lineRule="auto" w:line="276" w:before="2" w:after="200"/>
        <w:ind w:left="0" w:right="397" w:hanging="0"/>
        <w:jc w:val="right"/>
        <w:rPr>
          <w:rFonts w:ascii="Times New Roman" w:hAnsi="Times New Roman"/>
          <w:sz w:val="28"/>
          <w:szCs w:val="28"/>
        </w:rPr>
      </w:pPr>
      <w:r>
        <w:rPr>
          <w:rFonts w:ascii="Times New Roman" w:hAnsi="Times New Roman"/>
          <w:sz w:val="28"/>
          <w:szCs w:val="28"/>
        </w:rPr>
        <w:t>Приложение № 5</w:t>
      </w:r>
    </w:p>
    <w:tbl>
      <w:tblPr>
        <w:tblStyle w:val="af"/>
        <w:tblW w:w="5556" w:type="dxa"/>
        <w:jc w:val="left"/>
        <w:tblInd w:w="3477" w:type="dxa"/>
        <w:tblLayout w:type="fixed"/>
        <w:tblCellMar>
          <w:top w:w="0" w:type="dxa"/>
          <w:left w:w="108" w:type="dxa"/>
          <w:bottom w:w="0" w:type="dxa"/>
          <w:right w:w="108" w:type="dxa"/>
        </w:tblCellMar>
        <w:tblLook w:val="04a0"/>
      </w:tblPr>
      <w:tblGrid>
        <w:gridCol w:w="5556"/>
      </w:tblGrid>
      <w:tr>
        <w:trPr>
          <w:trHeight w:val="537" w:hRule="atLeast"/>
        </w:trPr>
        <w:tc>
          <w:tcPr>
            <w:tcW w:w="5556" w:type="dxa"/>
            <w:tcBorders>
              <w:top w:val="nil"/>
              <w:left w:val="nil"/>
              <w:bottom w:val="nil"/>
              <w:right w:val="nil"/>
            </w:tcBorders>
          </w:tcPr>
          <w:p>
            <w:pPr>
              <w:pStyle w:val="Normal"/>
              <w:widowControl w:val="false"/>
              <w:suppressAutoHyphens w:val="true"/>
              <w:spacing w:lineRule="auto" w:line="240" w:before="2"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субсидий по статье «Стимулирование увеличения производства</w:t>
            </w:r>
          </w:p>
          <w:p>
            <w:pPr>
              <w:pStyle w:val="Normal"/>
              <w:widowControl w:val="false"/>
              <w:suppressAutoHyphens w:val="true"/>
              <w:spacing w:lineRule="auto" w:line="240" w:before="2"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 xml:space="preserve"> </w:t>
            </w:r>
            <w:r>
              <w:rPr>
                <w:rFonts w:eastAsia="Calibri" w:cs="Times New Roman" w:ascii="Times New Roman" w:hAnsi="Times New Roman"/>
                <w:kern w:val="0"/>
                <w:sz w:val="28"/>
                <w:szCs w:val="28"/>
                <w:lang w:val="ru-RU" w:eastAsia="ru-RU" w:bidi="ar-SA"/>
              </w:rPr>
              <w:t>сельскохозяйственной продукции»</w:t>
            </w:r>
          </w:p>
        </w:tc>
      </w:tr>
      <w:tr>
        <w:trPr>
          <w:trHeight w:val="537" w:hRule="atLeast"/>
        </w:trPr>
        <w:tc>
          <w:tcPr>
            <w:tcW w:w="5556" w:type="dxa"/>
            <w:tcBorders>
              <w:top w:val="nil"/>
              <w:left w:val="nil"/>
              <w:bottom w:val="nil"/>
              <w:right w:val="nil"/>
            </w:tcBorders>
          </w:tcPr>
          <w:p>
            <w:pPr>
              <w:pStyle w:val="Normal"/>
              <w:widowControl w:val="false"/>
              <w:suppressAutoHyphens w:val="true"/>
              <w:spacing w:lineRule="auto" w:line="240" w:before="24" w:after="24"/>
              <w:jc w:val="center"/>
              <w:rPr>
                <w:rFonts w:ascii="Times New Roman" w:hAnsi="Times New Roman"/>
                <w:sz w:val="28"/>
                <w:szCs w:val="28"/>
              </w:rPr>
            </w:pPr>
            <w:r>
              <w:rPr>
                <w:rFonts w:ascii="Times New Roman" w:hAnsi="Times New Roman"/>
                <w:sz w:val="28"/>
                <w:szCs w:val="28"/>
              </w:rPr>
            </w:r>
          </w:p>
        </w:tc>
      </w:tr>
    </w:tbl>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Реестр документов, </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устанавливающих право </w:t>
      </w:r>
      <w:r>
        <w:rPr>
          <w:rFonts w:eastAsia="" w:cs="Times New Roman" w:ascii="Times New Roman" w:hAnsi="Times New Roman" w:eastAsiaTheme="minorEastAsia"/>
          <w:sz w:val="28"/>
          <w:szCs w:val="28"/>
          <w:shd w:fill="FFFFFF" w:val="clear"/>
          <w:lang w:eastAsia="ru-RU"/>
        </w:rPr>
        <w:t>собственности на земельный</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участок (участки), и (или) аренды земельного участка (участков),</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и (или) временного пользования земельным участком</w:t>
      </w:r>
    </w:p>
    <w:p>
      <w:pPr>
        <w:pStyle w:val="Normal"/>
        <w:spacing w:lineRule="auto" w:line="240" w:before="24" w:after="24"/>
        <w:jc w:val="center"/>
        <w:rPr>
          <w:rFonts w:ascii="Times New Roman" w:hAnsi="Times New Roman" w:eastAsia="" w:cs="Times New Roman" w:eastAsiaTheme="minorEastAsia"/>
          <w:sz w:val="28"/>
          <w:szCs w:val="28"/>
          <w:shd w:fill="FFFFFF" w:val="clear"/>
          <w:lang w:eastAsia="ru-RU"/>
        </w:rPr>
      </w:pPr>
      <w:r>
        <w:rPr>
          <w:rFonts w:eastAsia="" w:cs="Times New Roman" w:ascii="Times New Roman" w:hAnsi="Times New Roman" w:eastAsiaTheme="minorEastAsia"/>
          <w:sz w:val="28"/>
          <w:szCs w:val="28"/>
          <w:shd w:fill="FFFFFF" w:val="clear"/>
          <w:lang w:eastAsia="ru-RU"/>
        </w:rPr>
        <w:t>(участками)</w:t>
      </w:r>
    </w:p>
    <w:p>
      <w:pPr>
        <w:pStyle w:val="Normal"/>
        <w:spacing w:lineRule="auto" w:line="240" w:before="24" w:after="24"/>
        <w:jc w:val="center"/>
        <w:rPr>
          <w:rFonts w:ascii="Times New Roman" w:hAnsi="Times New Roman" w:eastAsia="" w:cs="Times New Roman" w:eastAsiaTheme="minorEastAsia"/>
          <w:sz w:val="28"/>
          <w:szCs w:val="28"/>
          <w:shd w:fill="FFFFFF" w:val="clear"/>
          <w:lang w:eastAsia="ru-RU"/>
        </w:rPr>
      </w:pPr>
      <w:r>
        <w:rPr>
          <w:rFonts w:eastAsia="" w:cs="Times New Roman" w:eastAsiaTheme="minorEastAsia" w:ascii="Times New Roman" w:hAnsi="Times New Roman"/>
          <w:sz w:val="28"/>
          <w:szCs w:val="28"/>
          <w:shd w:fill="FFFFFF" w:val="clear"/>
          <w:lang w:eastAsia="ru-RU"/>
        </w:rPr>
      </w:r>
    </w:p>
    <w:p>
      <w:pPr>
        <w:pStyle w:val="Normal"/>
        <w:widowControl w:val="false"/>
        <w:spacing w:lineRule="auto" w:line="240" w:before="8" w:after="0"/>
        <w:rPr>
          <w:rFonts w:ascii="Times New Roman" w:hAnsi="Times New Roman" w:eastAsia="Times New Roman" w:cs="Times New Roman"/>
          <w:sz w:val="21"/>
          <w:szCs w:val="29"/>
        </w:rPr>
      </w:pPr>
      <w:r>
        <w:rPr>
          <w:rFonts w:eastAsia="Times New Roman" w:cs="Times New Roman" w:ascii="Times New Roman" w:hAnsi="Times New Roman"/>
          <w:sz w:val="21"/>
          <w:szCs w:val="29"/>
        </w:rPr>
        <w:t>__________________________________________________________________________________</w: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pacing w:val="-1"/>
          <w:sz w:val="20"/>
        </w:rPr>
        <w:t xml:space="preserve">(наименование, </w:t>
      </w:r>
      <w:r>
        <w:rPr>
          <w:rFonts w:eastAsia="Times New Roman" w:cs="Times New Roman" w:ascii="Times New Roman" w:hAnsi="Times New Roman"/>
          <w:sz w:val="20"/>
        </w:rPr>
        <w:t>ИНН претендента)</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bl>
      <w:tblPr>
        <w:tblW w:w="9120" w:type="dxa"/>
        <w:jc w:val="left"/>
        <w:tblInd w:w="20" w:type="dxa"/>
        <w:tblLayout w:type="fixed"/>
        <w:tblCellMar>
          <w:top w:w="0" w:type="dxa"/>
          <w:left w:w="10" w:type="dxa"/>
          <w:bottom w:w="0" w:type="dxa"/>
          <w:right w:w="10" w:type="dxa"/>
        </w:tblCellMar>
        <w:tblLook w:val="04a0"/>
      </w:tblPr>
      <w:tblGrid>
        <w:gridCol w:w="716"/>
        <w:gridCol w:w="566"/>
        <w:gridCol w:w="708"/>
        <w:gridCol w:w="1406"/>
        <w:gridCol w:w="2159"/>
        <w:gridCol w:w="1417"/>
        <w:gridCol w:w="1128"/>
        <w:gridCol w:w="1019"/>
      </w:tblGrid>
      <w:tr>
        <w:trPr/>
        <w:tc>
          <w:tcPr>
            <w:tcW w:w="716" w:type="dxa"/>
            <w:vMerge w:val="restart"/>
            <w:tcBorders>
              <w:top w:val="single" w:sz="8" w:space="0" w:color="989898"/>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Порядковый номер</w:t>
            </w:r>
          </w:p>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274" w:type="dxa"/>
            <w:gridSpan w:val="2"/>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Реквизиты договора</w:t>
            </w:r>
          </w:p>
        </w:tc>
        <w:tc>
          <w:tcPr>
            <w:tcW w:w="1406"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Собственник земельного участка (арендатор)</w:t>
            </w:r>
          </w:p>
        </w:tc>
        <w:tc>
          <w:tcPr>
            <w:tcW w:w="2159"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Адрес земельного участка, кадастровый номер</w:t>
            </w:r>
          </w:p>
        </w:tc>
        <w:tc>
          <w:tcPr>
            <w:tcW w:w="1417"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Площадь земельного участка, га</w:t>
            </w:r>
          </w:p>
        </w:tc>
        <w:tc>
          <w:tcPr>
            <w:tcW w:w="1128"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Срок действия договора</w:t>
            </w:r>
          </w:p>
        </w:tc>
        <w:tc>
          <w:tcPr>
            <w:tcW w:w="1019"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регистрации договора</w:t>
            </w:r>
          </w:p>
        </w:tc>
      </w:tr>
      <w:tr>
        <w:trPr/>
        <w:tc>
          <w:tcPr>
            <w:tcW w:w="716" w:type="dxa"/>
            <w:vMerge w:val="continue"/>
            <w:tcBorders>
              <w:top w:val="single" w:sz="8" w:space="0" w:color="989898"/>
              <w:left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56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номер</w:t>
            </w:r>
          </w:p>
        </w:tc>
        <w:tc>
          <w:tcPr>
            <w:tcW w:w="70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заключения</w:t>
            </w:r>
          </w:p>
        </w:tc>
        <w:tc>
          <w:tcPr>
            <w:tcW w:w="1406"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159"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417"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28"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19"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716"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1</w:t>
            </w:r>
          </w:p>
        </w:tc>
        <w:tc>
          <w:tcPr>
            <w:tcW w:w="56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2</w:t>
            </w:r>
          </w:p>
        </w:tc>
        <w:tc>
          <w:tcPr>
            <w:tcW w:w="70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3</w:t>
            </w:r>
          </w:p>
        </w:tc>
        <w:tc>
          <w:tcPr>
            <w:tcW w:w="140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4</w:t>
            </w:r>
          </w:p>
        </w:tc>
        <w:tc>
          <w:tcPr>
            <w:tcW w:w="215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5</w:t>
            </w:r>
          </w:p>
        </w:tc>
        <w:tc>
          <w:tcPr>
            <w:tcW w:w="1417"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6</w:t>
            </w:r>
          </w:p>
        </w:tc>
        <w:tc>
          <w:tcPr>
            <w:tcW w:w="112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7</w:t>
            </w:r>
          </w:p>
        </w:tc>
        <w:tc>
          <w:tcPr>
            <w:tcW w:w="101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8</w:t>
            </w:r>
          </w:p>
        </w:tc>
      </w:tr>
      <w:tr>
        <w:trPr>
          <w:trHeight w:val="253" w:hRule="atLeast"/>
        </w:trPr>
        <w:tc>
          <w:tcPr>
            <w:tcW w:w="716"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56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70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40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15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417"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2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1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716"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Итого</w:t>
            </w:r>
          </w:p>
        </w:tc>
        <w:tc>
          <w:tcPr>
            <w:tcW w:w="56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70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406"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15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417"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28"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1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bl>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2175" w:leader="none"/>
        </w:tabs>
        <w:spacing w:before="2" w:after="200"/>
        <w:rPr>
          <w:rFonts w:ascii="Times New Roman" w:hAnsi="Times New Roman" w:cs="Times New Roman"/>
          <w:sz w:val="28"/>
          <w:szCs w:val="28"/>
        </w:rPr>
      </w:pPr>
      <w:r>
        <w:rPr>
          <w:rFonts w:cs="Times New Roman" w:ascii="Times New Roman" w:hAnsi="Times New Roman"/>
          <w:sz w:val="28"/>
          <w:szCs w:val="28"/>
        </w:rPr>
        <w:t>Исполнитель:</w:t>
        <w:tab/>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t>______________________________    ________________   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(Наименование должности)                         (подпись)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«___» _______________ 20 ___г.</w:t>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851" w:gutter="0" w:header="0" w:top="1134"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PT Astra Serif">
    <w:charset w:val="01"/>
    <w:family w:val="roman"/>
    <w:pitch w:val="default"/>
  </w:font>
  <w:font w:name="Courier New">
    <w:charset w:val="01"/>
    <w:family w:val="roman"/>
    <w:pitch w:val="default"/>
  </w:font>
  <w:font w:name="XO Thame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8"/>
        <w:szCs w:val="28"/>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d264d"/>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Style18"/>
    <w:next w:val="Style19"/>
    <w:qFormat/>
    <w:pPr>
      <w:spacing w:before="240" w:after="120"/>
      <w:outlineLvl w:val="0"/>
    </w:pPr>
    <w:rPr>
      <w:rFonts w:ascii="Liberation Serif" w:hAnsi="Liberation Serif" w:eastAsia="Tahoma" w:cs="Tahoma"/>
      <w:b/>
      <w:bCs/>
      <w:sz w:val="48"/>
      <w:szCs w:val="48"/>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uiPriority w:val="99"/>
    <w:qFormat/>
    <w:rsid w:val="00d76024"/>
    <w:rPr/>
  </w:style>
  <w:style w:type="character" w:styleId="Style14" w:customStyle="1">
    <w:name w:val="Нижний колонтитул Знак"/>
    <w:basedOn w:val="DefaultParagraphFont"/>
    <w:uiPriority w:val="99"/>
    <w:qFormat/>
    <w:rsid w:val="00d76024"/>
    <w:rPr/>
  </w:style>
  <w:style w:type="character" w:styleId="Style15" w:customStyle="1">
    <w:name w:val="Текст выноски Знак"/>
    <w:basedOn w:val="DefaultParagraphFont"/>
    <w:link w:val="BalloonText"/>
    <w:uiPriority w:val="99"/>
    <w:semiHidden/>
    <w:qFormat/>
    <w:rsid w:val="00f53cdf"/>
    <w:rPr>
      <w:rFonts w:ascii="Tahoma" w:hAnsi="Tahoma" w:cs="Tahoma"/>
      <w:sz w:val="16"/>
      <w:szCs w:val="16"/>
    </w:rPr>
  </w:style>
  <w:style w:type="character" w:styleId="Strong">
    <w:name w:val="Strong"/>
    <w:basedOn w:val="DefaultParagraphFont"/>
    <w:uiPriority w:val="99"/>
    <w:qFormat/>
    <w:rsid w:val="00c90c7a"/>
    <w:rPr>
      <w:b/>
      <w:bCs/>
    </w:rPr>
  </w:style>
  <w:style w:type="character" w:styleId="-">
    <w:name w:val="Hyperlink"/>
    <w:basedOn w:val="DefaultParagraphFont"/>
    <w:uiPriority w:val="99"/>
    <w:unhideWhenUsed/>
    <w:rsid w:val="00314fcb"/>
    <w:rPr>
      <w:color w:val="0000FF" w:themeColor="hyperlink"/>
      <w:u w:val="single"/>
    </w:rPr>
  </w:style>
  <w:style w:type="character" w:styleId="Style16" w:customStyle="1">
    <w:name w:val="Основной текст Знак"/>
    <w:basedOn w:val="DefaultParagraphFont"/>
    <w:qFormat/>
    <w:rsid w:val="00c22175"/>
    <w:rPr>
      <w:rFonts w:ascii="Times New Roman" w:hAnsi="Times New Roman" w:eastAsia="Times New Roman" w:cs="Times New Roman"/>
      <w:sz w:val="28"/>
      <w:szCs w:val="20"/>
      <w:lang w:eastAsia="ru-RU"/>
    </w:rPr>
  </w:style>
  <w:style w:type="character" w:styleId="ConsPlusNormal" w:customStyle="1">
    <w:name w:val="ConsPlusNormal Знак"/>
    <w:link w:val="ConsPlusNormal1"/>
    <w:qFormat/>
    <w:locked/>
    <w:rsid w:val="00a35c59"/>
    <w:rPr>
      <w:rFonts w:ascii="Arial" w:hAnsi="Arial" w:eastAsia="Times New Roman" w:cs="Arial"/>
      <w:sz w:val="20"/>
      <w:szCs w:val="20"/>
      <w:lang w:eastAsia="ru-RU"/>
    </w:rPr>
  </w:style>
  <w:style w:type="character" w:styleId="Style17">
    <w:name w:val="FollowedHyperlink"/>
    <w:basedOn w:val="DefaultParagraphFont"/>
    <w:rPr>
      <w:color w:val="800080" w:themeColor="followedHyperlink"/>
      <w:u w:val="single"/>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link w:val="Style16"/>
    <w:unhideWhenUsed/>
    <w:rsid w:val="00c22175"/>
    <w:pPr>
      <w:spacing w:lineRule="auto" w:line="240" w:before="0" w:after="0"/>
    </w:pPr>
    <w:rPr>
      <w:rFonts w:ascii="Times New Roman" w:hAnsi="Times New Roman" w:eastAsia="Times New Roman" w:cs="Times New Roman"/>
      <w:sz w:val="28"/>
      <w:szCs w:val="20"/>
      <w:lang w:eastAsia="ru-RU"/>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Style23">
    <w:name w:val="Колонтитул"/>
    <w:basedOn w:val="Normal"/>
    <w:qFormat/>
    <w:pPr/>
    <w:rPr/>
  </w:style>
  <w:style w:type="paragraph" w:styleId="Style24" w:customStyle="1">
    <w:name w:val="Header"/>
    <w:basedOn w:val="Normal"/>
    <w:link w:val="Style13"/>
    <w:uiPriority w:val="99"/>
    <w:unhideWhenUsed/>
    <w:rsid w:val="0096457b"/>
    <w:pPr>
      <w:tabs>
        <w:tab w:val="clear" w:pos="708"/>
        <w:tab w:val="center" w:pos="7143" w:leader="none"/>
        <w:tab w:val="right" w:pos="14287" w:leader="none"/>
      </w:tabs>
      <w:spacing w:lineRule="auto" w:line="240" w:before="0" w:after="0"/>
    </w:pPr>
    <w:rPr>
      <w:rFonts w:ascii="Times New Roman" w:hAnsi="Times New Roman" w:eastAsia="Calibri" w:cs="Times New Roman"/>
      <w:sz w:val="28"/>
      <w:szCs w:val="28"/>
      <w:lang w:eastAsia="ru-RU"/>
    </w:rPr>
  </w:style>
  <w:style w:type="paragraph" w:styleId="Style25">
    <w:name w:val="Footer"/>
    <w:basedOn w:val="Normal"/>
    <w:link w:val="Style14"/>
    <w:uiPriority w:val="99"/>
    <w:unhideWhenUsed/>
    <w:rsid w:val="00d76024"/>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5"/>
    <w:uiPriority w:val="99"/>
    <w:semiHidden/>
    <w:unhideWhenUsed/>
    <w:qFormat/>
    <w:rsid w:val="00f53cdf"/>
    <w:pPr>
      <w:spacing w:lineRule="auto" w:line="240" w:before="0" w:after="0"/>
    </w:pPr>
    <w:rPr>
      <w:rFonts w:ascii="Tahoma" w:hAnsi="Tahoma" w:cs="Tahoma"/>
      <w:sz w:val="16"/>
      <w:szCs w:val="16"/>
    </w:rPr>
  </w:style>
  <w:style w:type="paragraph" w:styleId="NormalWeb">
    <w:name w:val="Normal (Web)"/>
    <w:basedOn w:val="Normal"/>
    <w:uiPriority w:val="99"/>
    <w:qFormat/>
    <w:rsid w:val="00c90c7a"/>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1"/>
    <w:qFormat/>
    <w:rsid w:val="002505a1"/>
    <w:pPr>
      <w:spacing w:before="0" w:after="200"/>
      <w:ind w:left="720" w:hanging="0"/>
      <w:contextualSpacing/>
    </w:pPr>
    <w:rPr/>
  </w:style>
  <w:style w:type="paragraph" w:styleId="ConsPlusNormal1" w:customStyle="1">
    <w:name w:val="ConsPlusNormal"/>
    <w:link w:val="ConsPlusNormal"/>
    <w:qFormat/>
    <w:rsid w:val="005663ec"/>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Normal" w:customStyle="1">
    <w:name w:val="ConsNormal"/>
    <w:uiPriority w:val="99"/>
    <w:qFormat/>
    <w:rsid w:val="00165828"/>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rsid w:val="0024129a"/>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040eaf"/>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TableParagraph" w:customStyle="1">
    <w:name w:val="Table Paragraph"/>
    <w:basedOn w:val="Normal"/>
    <w:uiPriority w:val="1"/>
    <w:qFormat/>
    <w:rsid w:val="00a85013"/>
    <w:pPr>
      <w:widowControl w:val="false"/>
      <w:spacing w:lineRule="auto" w:line="240" w:before="0" w:after="0"/>
    </w:pPr>
    <w:rPr>
      <w:rFonts w:ascii="Times New Roman" w:hAnsi="Times New Roman" w:eastAsia="Times New Roman" w:cs="Times New Roman"/>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rsid w:val="0082700e"/>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a85013"/>
    <w:pPr>
      <w:spacing w:after="0" w:line="240" w:lineRule="auto"/>
    </w:pPr>
    <w:rPr>
      <w:lang w:val="en-US"/>
    </w:rPr>
    <w:tblPr>
      <w:tblCellMar>
        <w:top w:w="0" w:type="dxa"/>
        <w:left w:w="0" w:type="dxa"/>
        <w:bottom w:w="0" w:type="dxa"/>
        <w:right w:w="0" w:type="dxa"/>
      </w:tblCellMar>
    </w:tblPr>
  </w:style>
  <w:style w:type="table" w:customStyle="1" w:styleId="1">
    <w:name w:val="Сетка таблицы1"/>
    <w:basedOn w:val="a1"/>
    <w:uiPriority w:val="59"/>
    <w:rsid w:val="002f5e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rsid w:val="00476289"/>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ervice.nalog.ru/io.do" TargetMode="External"/><Relationship Id="rId3" Type="http://schemas.openxmlformats.org/officeDocument/2006/relationships/hyperlink" Target="https://www.fedsfm.ru/documents/terr-list" TargetMode="External"/><Relationship Id="rId4" Type="http://schemas.openxmlformats.org/officeDocument/2006/relationships/hyperlink" Target="https://minjust.gov.ru/ru/activity/directions/998/" TargetMode="External"/><Relationship Id="rId5" Type="http://schemas.openxmlformats.org/officeDocument/2006/relationships/hyperlink" Target="https://fedresurs.ru/search/entity"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90796-AEC1-4F7A-B31D-DD2F360E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15595</TotalTime>
  <Application>LibreOffice/7.5.6.2$Linux_X86_64 LibreOffice_project/50$Build-2</Application>
  <AppVersion>15.0000</AppVersion>
  <Pages>31</Pages>
  <Words>7044</Words>
  <Characters>53703</Characters>
  <CharactersWithSpaces>61430</CharactersWithSpaces>
  <Paragraphs>432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2014-12-04T09:07:00Z</dcterms:created>
  <dc:creator>olga</dc:creator>
  <dc:description/>
  <dc:language>ru-RU</dc:language>
  <cp:lastModifiedBy/>
  <cp:lastPrinted>2025-03-20T16:55:56Z</cp:lastPrinted>
  <dcterms:modified xsi:type="dcterms:W3CDTF">2025-03-20T16:56:58Z</dcterms:modified>
  <cp:revision>250</cp:revision>
  <dc:subject/>
  <dc:title/>
</cp:coreProperties>
</file>

<file path=docProps/custom.xml><?xml version="1.0" encoding="utf-8"?>
<Properties xmlns="http://schemas.openxmlformats.org/officeDocument/2006/custom-properties" xmlns:vt="http://schemas.openxmlformats.org/officeDocument/2006/docPropsVTypes"/>
</file>