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Уведомление о разработке предлагаемого нормативного правового акта</w:t>
      </w:r>
    </w:p>
    <w:p w14:paraId="02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Настоящим уведомлением о</w:t>
      </w:r>
      <w:r>
        <w:rPr>
          <w:rFonts w:ascii="Times New Roman" w:hAnsi="Times New Roman"/>
          <w:sz w:val="28"/>
          <w:u w:val="single"/>
        </w:rPr>
        <w:t>тдел прогнозирования и учета в сфере агропромышленного комплекса администрация Прокопьевского муниципального округа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</w:rPr>
        <w:t xml:space="preserve">извещает о начале обсуждения проекта нормативного правового акта администрации Прокопьевского муниципального округа </w:t>
      </w:r>
      <w:r>
        <w:rPr>
          <w:rFonts w:ascii="Times New Roman" w:hAnsi="Times New Roman"/>
          <w:sz w:val="28"/>
          <w:u w:val="single"/>
        </w:rPr>
        <w:t>«</w:t>
      </w:r>
      <w:r>
        <w:rPr>
          <w:rFonts w:ascii="Times New Roman" w:hAnsi="Times New Roman"/>
          <w:color w:val="000000"/>
          <w:sz w:val="28"/>
          <w:u w:val="single"/>
        </w:rPr>
        <w:t xml:space="preserve">Об утверждении Правил предоставления субсидии </w:t>
      </w:r>
      <w:r>
        <w:rPr>
          <w:rFonts w:ascii="Times New Roman" w:hAnsi="Times New Roman"/>
          <w:color w:val="000000"/>
          <w:sz w:val="28"/>
          <w:u w:val="single"/>
        </w:rPr>
        <w:t xml:space="preserve">на возмещение части затрат сельскохозяйственным </w:t>
      </w:r>
      <w:r>
        <w:rPr>
          <w:rFonts w:ascii="Times New Roman" w:hAnsi="Times New Roman"/>
          <w:color w:val="000000"/>
          <w:sz w:val="28"/>
          <w:u w:val="single"/>
        </w:rPr>
        <w:t xml:space="preserve">товаропроизводителям на содержание маточного </w:t>
      </w:r>
      <w:r>
        <w:rPr>
          <w:rFonts w:ascii="Times New Roman" w:hAnsi="Times New Roman"/>
          <w:color w:val="000000"/>
          <w:sz w:val="28"/>
          <w:u w:val="single"/>
        </w:rPr>
        <w:t xml:space="preserve">поголовья крупного  рогатого скота (коров) </w:t>
      </w:r>
      <w:r>
        <w:rPr>
          <w:rFonts w:ascii="Times New Roman" w:hAnsi="Times New Roman"/>
          <w:color w:val="000000"/>
          <w:sz w:val="28"/>
          <w:u w:val="single"/>
        </w:rPr>
        <w:t>молочного направления  и племенного маточного поголовья сельскохозяйственных животных и птицы с целью сохранности маточного поголовья</w:t>
      </w:r>
      <w:r>
        <w:rPr>
          <w:rFonts w:ascii="Times New Roman" w:hAnsi="Times New Roman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>.</w:t>
      </w:r>
    </w:p>
    <w:p w14:paraId="04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Предложения принимаются по адресу: </w:t>
      </w:r>
      <w:r>
        <w:rPr>
          <w:rFonts w:ascii="Times New Roman" w:hAnsi="Times New Roman"/>
          <w:sz w:val="28"/>
          <w:u w:val="single"/>
        </w:rPr>
        <w:t>653033, г. Прокопьевск, пр. Гагарина, 1в, каб. 217</w:t>
      </w:r>
      <w:r>
        <w:rPr>
          <w:rFonts w:ascii="Times New Roman" w:hAnsi="Times New Roman"/>
          <w:sz w:val="28"/>
        </w:rPr>
        <w:t xml:space="preserve">, а также по адресу электронной почты: </w:t>
      </w:r>
      <w:r>
        <w:rPr>
          <w:rFonts w:ascii="Times New Roman" w:hAnsi="Times New Roman"/>
          <w:sz w:val="28"/>
          <w:u w:val="single"/>
        </w:rPr>
        <w:t>adm</w:t>
      </w:r>
      <w:r>
        <w:rPr>
          <w:rFonts w:ascii="Times New Roman" w:hAnsi="Times New Roman"/>
          <w:sz w:val="28"/>
          <w:u w:val="single"/>
        </w:rPr>
        <w:t>-</w:t>
      </w:r>
      <w:r>
        <w:rPr>
          <w:rFonts w:ascii="Times New Roman" w:hAnsi="Times New Roman"/>
          <w:sz w:val="28"/>
          <w:u w:val="single"/>
        </w:rPr>
        <w:t>cx</w:t>
      </w:r>
      <w:r>
        <w:rPr>
          <w:rFonts w:ascii="Times New Roman" w:hAnsi="Times New Roman"/>
          <w:sz w:val="28"/>
          <w:u w:val="single"/>
        </w:rPr>
        <w:t>@yandex.ru</w:t>
      </w:r>
    </w:p>
    <w:p w14:paraId="05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>
        <w:rPr>
          <w:rFonts w:ascii="Times New Roman" w:hAnsi="Times New Roman"/>
          <w:sz w:val="28"/>
          <w:u w:val="single"/>
        </w:rPr>
        <w:t>высокая</w:t>
      </w:r>
    </w:p>
    <w:p w14:paraId="06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Сроки приема предложений: </w:t>
      </w:r>
      <w:r>
        <w:rPr>
          <w:rFonts w:ascii="Times New Roman" w:hAnsi="Times New Roman"/>
          <w:sz w:val="28"/>
          <w:u w:val="single"/>
        </w:rPr>
        <w:t>с 25.03.2025 по 21.04.2025</w:t>
      </w:r>
    </w:p>
    <w:p w14:paraId="07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14:paraId="08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9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 поступившие предложения будут рассмотрены. Сводка предложений будет размещена на сайте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не позднее </w:t>
      </w:r>
      <w:r>
        <w:rPr>
          <w:rFonts w:ascii="Times New Roman" w:hAnsi="Times New Roman"/>
          <w:sz w:val="28"/>
          <w:u w:val="single"/>
        </w:rPr>
        <w:t>25.04.202</w:t>
      </w:r>
      <w:r>
        <w:rPr>
          <w:rFonts w:ascii="Times New Roman" w:hAnsi="Times New Roman"/>
          <w:sz w:val="28"/>
          <w:u w:val="single"/>
        </w:rPr>
        <w:t>5</w:t>
      </w:r>
    </w:p>
    <w:p w14:paraId="0A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1. Описание проблемы, на решение которой направлен предлагаемый нормативный правовой акт: </w:t>
      </w:r>
      <w:r>
        <w:rPr>
          <w:rFonts w:ascii="Times New Roman" w:hAnsi="Times New Roman"/>
          <w:sz w:val="28"/>
          <w:u w:val="single"/>
        </w:rPr>
        <w:t xml:space="preserve">предоставления субсидии </w:t>
      </w:r>
      <w:r>
        <w:rPr>
          <w:rFonts w:ascii="Times New Roman" w:hAnsi="Times New Roman"/>
          <w:sz w:val="28"/>
          <w:u w:val="single"/>
        </w:rPr>
        <w:t>на возмещение части затрат сельскохозяйственным товаропроизводителям на содержание маточного поголовья крупного рогатого скота (коров) молочного направления и племенного маточного поголовья сельскохозяйственных животных и птицы с целью сохранности маточного поголовья</w:t>
      </w:r>
      <w:r>
        <w:rPr>
          <w:rFonts w:ascii="Times New Roman" w:hAnsi="Times New Roman"/>
          <w:sz w:val="28"/>
          <w:u w:val="single"/>
        </w:rPr>
        <w:t>.</w:t>
      </w:r>
    </w:p>
    <w:p w14:paraId="0B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Цели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 xml:space="preserve">повышение качества </w:t>
      </w:r>
      <w:r>
        <w:rPr>
          <w:rFonts w:ascii="Times New Roman" w:hAnsi="Times New Roman"/>
          <w:sz w:val="28"/>
          <w:u w:val="single"/>
        </w:rPr>
        <w:t xml:space="preserve">и доступности предоставления </w:t>
      </w:r>
      <w:r>
        <w:rPr>
          <w:rFonts w:ascii="Times New Roman" w:hAnsi="Times New Roman"/>
          <w:sz w:val="28"/>
          <w:u w:val="single"/>
        </w:rPr>
        <w:t xml:space="preserve">субсидии </w:t>
      </w:r>
      <w:r>
        <w:rPr>
          <w:rFonts w:ascii="Times New Roman" w:hAnsi="Times New Roman"/>
          <w:sz w:val="28"/>
          <w:u w:val="single"/>
        </w:rPr>
        <w:t>на возмещение части затрат сельскохозяйственным товаропроизводителям на содержание маточного поголовья крупного рогатого скота (коров) молочного направления и племенного маточного поголовья сельскохозяйственных животных и птицы с целью сохранности маточного поголовья</w:t>
      </w:r>
      <w:r>
        <w:rPr>
          <w:rFonts w:ascii="Times New Roman" w:hAnsi="Times New Roman"/>
          <w:sz w:val="28"/>
          <w:u w:val="single"/>
        </w:rPr>
        <w:t>.</w:t>
      </w:r>
    </w:p>
    <w:p w14:paraId="0C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sz w:val="28"/>
          <w:u w:val="single"/>
        </w:rPr>
        <w:t>тать</w:t>
      </w:r>
      <w:r>
        <w:rPr>
          <w:rFonts w:ascii="Times New Roman" w:hAnsi="Times New Roman"/>
          <w:sz w:val="28"/>
          <w:u w:val="single"/>
        </w:rPr>
        <w:t>я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78</w:t>
      </w:r>
      <w:r>
        <w:rPr>
          <w:rFonts w:ascii="Times New Roman" w:hAnsi="Times New Roman"/>
          <w:sz w:val="28"/>
          <w:u w:val="single"/>
        </w:rPr>
        <w:t xml:space="preserve"> Бюджетного кодекса Российской федерации, </w:t>
      </w:r>
      <w:r>
        <w:rPr>
          <w:rFonts w:ascii="Times New Roman" w:hAnsi="Times New Roman"/>
          <w:sz w:val="28"/>
          <w:u w:val="single"/>
        </w:rPr>
        <w:t>постановление</w:t>
      </w:r>
      <w:r>
        <w:rPr>
          <w:rFonts w:ascii="Times New Roman" w:hAnsi="Times New Roman"/>
          <w:sz w:val="28"/>
          <w:u w:val="single"/>
        </w:rPr>
        <w:t xml:space="preserve"> Правительства Российской Федерации </w:t>
      </w:r>
      <w:r>
        <w:rPr>
          <w:rFonts w:ascii="Times New Roman" w:hAnsi="Times New Roman"/>
          <w:sz w:val="28"/>
          <w:u w:val="single"/>
        </w:rPr>
        <w:t>от 25.10.2023</w:t>
      </w:r>
      <w:r>
        <w:rPr>
          <w:u w:val="single"/>
        </w:rPr>
        <w:br/>
      </w:r>
      <w:r>
        <w:rPr>
          <w:rFonts w:ascii="Times New Roman" w:hAnsi="Times New Roman"/>
          <w:sz w:val="28"/>
          <w:u w:val="single"/>
        </w:rPr>
        <w:t>№ 1782 «Об утверждении общих требовании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субсидии, юридическим лицам, индивидуальным предпринимателям, а также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физическим лицам - производителям товаров, работ, услуг и проведение отборов получателей указанных субсидий, в</w:t>
      </w:r>
      <w:r>
        <w:rPr>
          <w:rFonts w:ascii="Times New Roman" w:hAnsi="Times New Roman"/>
          <w:sz w:val="28"/>
          <w:u w:val="single"/>
        </w:rPr>
        <w:t xml:space="preserve"> том числе грантов в форме субсидий»; </w:t>
      </w:r>
      <w:r>
        <w:rPr>
          <w:rFonts w:ascii="Times New Roman" w:hAnsi="Times New Roman"/>
          <w:sz w:val="28"/>
          <w:u w:val="single"/>
        </w:rPr>
        <w:t>П</w:t>
      </w:r>
      <w:r>
        <w:rPr>
          <w:rFonts w:ascii="Times New Roman" w:hAnsi="Times New Roman"/>
          <w:sz w:val="28"/>
          <w:u w:val="single"/>
        </w:rPr>
        <w:t xml:space="preserve">остановление администрации </w:t>
      </w:r>
      <w:r>
        <w:rPr>
          <w:rFonts w:ascii="Times New Roman" w:hAnsi="Times New Roman"/>
          <w:sz w:val="28"/>
          <w:u w:val="single"/>
        </w:rPr>
        <w:t>Прокопьевского</w:t>
      </w:r>
      <w:r>
        <w:rPr>
          <w:rFonts w:ascii="Times New Roman" w:hAnsi="Times New Roman"/>
          <w:sz w:val="28"/>
          <w:u w:val="single"/>
        </w:rPr>
        <w:t xml:space="preserve"> муниципального округа от 27.09.2021 № 2547-п «Об утверждении муниципальной программы «Развитие сельского хозяйства </w:t>
      </w:r>
      <w:r>
        <w:rPr>
          <w:rFonts w:ascii="Times New Roman" w:hAnsi="Times New Roman"/>
          <w:sz w:val="28"/>
          <w:u w:val="single"/>
        </w:rPr>
        <w:t>Прокопьевского</w:t>
      </w:r>
      <w:r>
        <w:rPr>
          <w:rFonts w:ascii="Times New Roman" w:hAnsi="Times New Roman"/>
          <w:sz w:val="28"/>
          <w:u w:val="single"/>
        </w:rPr>
        <w:t xml:space="preserve"> муниципального округа» н</w:t>
      </w:r>
      <w:r>
        <w:rPr>
          <w:rFonts w:ascii="Times New Roman" w:hAnsi="Times New Roman"/>
          <w:sz w:val="28"/>
          <w:u w:val="single"/>
        </w:rPr>
        <w:t>а 2022-2027</w:t>
      </w:r>
      <w:r>
        <w:rPr>
          <w:rFonts w:ascii="Times New Roman" w:hAnsi="Times New Roman"/>
          <w:sz w:val="28"/>
          <w:u w:val="single"/>
        </w:rPr>
        <w:t xml:space="preserve"> годы</w:t>
      </w:r>
      <w:r>
        <w:rPr>
          <w:rFonts w:ascii="Times New Roman" w:hAnsi="Times New Roman"/>
          <w:sz w:val="28"/>
        </w:rPr>
        <w:t>.</w:t>
      </w:r>
    </w:p>
    <w:p w14:paraId="0D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4. Планируемый срок вступления в силу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апрель</w:t>
      </w:r>
      <w:r>
        <w:rPr>
          <w:rFonts w:ascii="Times New Roman" w:hAnsi="Times New Roman"/>
          <w:sz w:val="28"/>
          <w:u w:val="single"/>
        </w:rPr>
        <w:t xml:space="preserve"> 2025 года</w:t>
      </w:r>
      <w:r>
        <w:rPr>
          <w:rFonts w:ascii="Times New Roman" w:hAnsi="Times New Roman"/>
          <w:sz w:val="28"/>
          <w:u w:val="single"/>
        </w:rPr>
        <w:t>.</w:t>
      </w:r>
    </w:p>
    <w:p w14:paraId="0E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Сведения о необходимости или отсутствии необходимости установления переходного периода: </w:t>
      </w:r>
      <w:r>
        <w:rPr>
          <w:rFonts w:ascii="Times New Roman" w:hAnsi="Times New Roman"/>
          <w:sz w:val="28"/>
          <w:u w:val="single"/>
        </w:rPr>
        <w:t>не требуется.</w:t>
      </w:r>
    </w:p>
    <w:p w14:paraId="0F000000">
      <w:pPr>
        <w:pStyle w:val="Style_4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</w:rPr>
        <w:t>.</w:t>
      </w:r>
    </w:p>
    <w:p w14:paraId="10000000">
      <w:pPr>
        <w:pStyle w:val="Style_3"/>
        <w:ind w:firstLine="567" w:left="-567"/>
        <w:rPr>
          <w:rFonts w:ascii="Times New Roman" w:hAnsi="Times New Roman"/>
          <w:sz w:val="28"/>
        </w:rPr>
      </w:pPr>
    </w:p>
    <w:p w14:paraId="11000000">
      <w:pPr>
        <w:pStyle w:val="Style_3"/>
        <w:ind w:firstLine="567" w:left="-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уведомлению прилагаются:</w:t>
      </w:r>
    </w:p>
    <w:p w14:paraId="12000000">
      <w:pPr>
        <w:pStyle w:val="Style_3"/>
        <w:ind w:firstLine="567" w:left="-567"/>
        <w:rPr>
          <w:rFonts w:ascii="Times New Roman" w:hAnsi="Times New Roman"/>
          <w:sz w:val="28"/>
        </w:rPr>
      </w:pPr>
    </w:p>
    <w:tbl>
      <w:tblPr>
        <w:tblStyle w:val="Style_5"/>
        <w:tblW w:type="auto" w:w="0"/>
        <w:jc w:val="left"/>
        <w:tblInd w:type="dxa" w:w="119"/>
        <w:tblLayout w:type="fixed"/>
        <w:tblCellMar>
          <w:top w:type="dxa" w:w="102"/>
          <w:left w:type="dxa" w:w="57"/>
          <w:bottom w:type="dxa" w:w="102"/>
          <w:right w:type="dxa" w:w="62"/>
        </w:tblCellMar>
      </w:tblPr>
      <w:tblGrid>
        <w:gridCol w:w="392"/>
        <w:gridCol w:w="7160"/>
        <w:gridCol w:w="1850"/>
      </w:tblGrid>
      <w:tr>
        <w:trPr>
          <w:trHeight w:hRule="atLeast" w:val="283"/>
        </w:trPr>
        <w:tc>
          <w:tcPr>
            <w:tcW w:type="dxa" w:w="39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3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71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4000000">
            <w:pPr>
              <w:pStyle w:val="Style_3"/>
              <w:widowControl w:val="0"/>
              <w:spacing w:line="252" w:lineRule="auto"/>
              <w:ind w:firstLine="0" w:left="11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вопросов для участников публичных обсуждений</w:t>
            </w:r>
          </w:p>
        </w:tc>
        <w:tc>
          <w:tcPr>
            <w:tcW w:type="dxa" w:w="1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5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16000000">
      <w:pPr>
        <w:pStyle w:val="Style_3"/>
        <w:ind/>
        <w:jc w:val="both"/>
        <w:rPr>
          <w:rFonts w:ascii="Times New Roman" w:hAnsi="Times New Roman"/>
          <w:sz w:val="24"/>
        </w:rPr>
      </w:pPr>
    </w:p>
    <w:sectPr>
      <w:type w:val="nextPage"/>
      <w:pgSz w:h="16838" w:orient="portrait" w:w="11906"/>
      <w:pgMar w:bottom="1389" w:footer="0" w:gutter="0" w:header="0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1_ch" w:type="character">
    <w:name w:val="Normal"/>
    <w:link w:val="Style_1"/>
    <w:rPr>
      <w:rFonts w:asciiTheme="minorAscii" w:hAnsiTheme="minorHAnsi"/>
      <w:color w:val="000000"/>
      <w:sz w:val="22"/>
    </w:rPr>
  </w:style>
  <w:style w:styleId="Style_6" w:type="paragraph">
    <w:name w:val="toc 2"/>
    <w:next w:val="Style_1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1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1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1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1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Заголовок"/>
    <w:basedOn w:val="Style_1"/>
    <w:next w:val="Style_13"/>
    <w:link w:val="Style_12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12_ch" w:type="character">
    <w:name w:val="Заголовок"/>
    <w:basedOn w:val="Style_1_ch"/>
    <w:link w:val="Style_12"/>
    <w:rPr>
      <w:rFonts w:ascii="PT Astra Serif" w:hAnsi="PT Astra Serif"/>
      <w:sz w:val="28"/>
    </w:rPr>
  </w:style>
  <w:style w:styleId="Style_13" w:type="paragraph">
    <w:name w:val="Body Text"/>
    <w:basedOn w:val="Style_1"/>
    <w:link w:val="Style_13_ch"/>
    <w:pPr>
      <w:spacing w:after="140" w:before="0" w:line="276" w:lineRule="auto"/>
      <w:ind/>
    </w:pPr>
  </w:style>
  <w:style w:styleId="Style_13_ch" w:type="character">
    <w:name w:val="Body Text"/>
    <w:basedOn w:val="Style_1_ch"/>
    <w:link w:val="Style_13"/>
  </w:style>
  <w:style w:styleId="Style_3" w:type="paragraph">
    <w:name w:val="ConsPlusNonformat"/>
    <w:link w:val="Style_3_ch"/>
    <w:pPr>
      <w:widowControl w:val="0"/>
      <w:spacing w:after="0" w:before="0" w:line="240" w:lineRule="auto"/>
      <w:ind/>
      <w:jc w:val="left"/>
    </w:pPr>
    <w:rPr>
      <w:rFonts w:ascii="Courier New" w:hAnsi="Courier New"/>
      <w:color w:val="000000"/>
      <w:sz w:val="20"/>
    </w:rPr>
  </w:style>
  <w:style w:styleId="Style_3_ch" w:type="character">
    <w:name w:val="ConsPlusNonformat"/>
    <w:link w:val="Style_3"/>
    <w:rPr>
      <w:rFonts w:ascii="Courier New" w:hAnsi="Courier New"/>
      <w:color w:val="000000"/>
      <w:sz w:val="20"/>
    </w:rPr>
  </w:style>
  <w:style w:styleId="Style_14" w:type="paragraph">
    <w:name w:val="Caption"/>
    <w:basedOn w:val="Style_1"/>
    <w:link w:val="Style_14_ch"/>
    <w:pPr>
      <w:spacing w:after="120" w:before="120"/>
      <w:ind/>
    </w:pPr>
    <w:rPr>
      <w:rFonts w:ascii="PT Astra Serif" w:hAnsi="PT Astra Serif"/>
      <w:i w:val="1"/>
      <w:sz w:val="24"/>
    </w:rPr>
  </w:style>
  <w:style w:styleId="Style_14_ch" w:type="character">
    <w:name w:val="Caption"/>
    <w:basedOn w:val="Style_1_ch"/>
    <w:link w:val="Style_14"/>
    <w:rPr>
      <w:rFonts w:ascii="PT Astra Serif" w:hAnsi="PT Astra Serif"/>
      <w:i w:val="1"/>
      <w:sz w:val="24"/>
    </w:rPr>
  </w:style>
  <w:style w:styleId="Style_15" w:type="paragraph">
    <w:name w:val="toc 3"/>
    <w:next w:val="Style_1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4" w:type="paragraph">
    <w:name w:val="ConsPlusNormal"/>
    <w:link w:val="Style_4_ch"/>
    <w:pPr>
      <w:widowControl w:val="0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4_ch" w:type="character">
    <w:name w:val="ConsPlusNormal"/>
    <w:link w:val="Style_4"/>
    <w:rPr>
      <w:rFonts w:asciiTheme="minorAscii" w:hAnsiTheme="minorHAnsi"/>
      <w:color w:val="000000"/>
      <w:sz w:val="22"/>
    </w:rPr>
  </w:style>
  <w:style w:styleId="Style_16" w:type="paragraph">
    <w:name w:val="heading 5"/>
    <w:next w:val="Style_1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next w:val="Style_1"/>
    <w:link w:val="Style_1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2" w:type="paragraph">
    <w:name w:val="Hyperlink"/>
    <w:basedOn w:val="Style_18"/>
    <w:link w:val="Style_2_ch"/>
    <w:rPr>
      <w:color w:themeColor="hyperlink" w:val="0000FF"/>
      <w:u w:val="single"/>
    </w:rPr>
  </w:style>
  <w:style w:styleId="Style_2_ch" w:type="character">
    <w:name w:val="Hyperlink"/>
    <w:basedOn w:val="Style_18_ch"/>
    <w:link w:val="Style_2"/>
    <w:rPr>
      <w:color w:themeColor="hyperlink"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1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22" w:type="paragraph">
    <w:name w:val="toc 9"/>
    <w:next w:val="Style_1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1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List"/>
    <w:basedOn w:val="Style_13"/>
    <w:link w:val="Style_24_ch"/>
    <w:rPr>
      <w:rFonts w:ascii="PT Astra Serif" w:hAnsi="PT Astra Serif"/>
    </w:rPr>
  </w:style>
  <w:style w:styleId="Style_24_ch" w:type="character">
    <w:name w:val="List"/>
    <w:basedOn w:val="Style_13_ch"/>
    <w:link w:val="Style_24"/>
    <w:rPr>
      <w:rFonts w:ascii="PT Astra Serif" w:hAnsi="PT Astra Serif"/>
    </w:rPr>
  </w:style>
  <w:style w:styleId="Style_25" w:type="paragraph">
    <w:name w:val="Указатель"/>
    <w:basedOn w:val="Style_1"/>
    <w:link w:val="Style_25_ch"/>
    <w:rPr>
      <w:rFonts w:ascii="PT Astra Serif" w:hAnsi="PT Astra Serif"/>
    </w:rPr>
  </w:style>
  <w:style w:styleId="Style_25_ch" w:type="character">
    <w:name w:val="Указатель"/>
    <w:basedOn w:val="Style_1_ch"/>
    <w:link w:val="Style_25"/>
    <w:rPr>
      <w:rFonts w:ascii="PT Astra Serif" w:hAnsi="PT Astra Serif"/>
    </w:rPr>
  </w:style>
  <w:style w:styleId="Style_26" w:type="paragraph">
    <w:name w:val="toc 5"/>
    <w:next w:val="Style_1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next w:val="Style_1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1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1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1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default="1" w:styleId="Style_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2025-03-25T04:25:10Z</dcterms:modified>
</cp:coreProperties>
</file>