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410" w:leader="none"/>
        </w:tabs>
        <w:rPr>
          <w:rFonts w:ascii="Times New Roman" w:hAnsi="Times New Roman" w:cs="Times New Roman"/>
          <w:b/>
          <w:sz w:val="28"/>
          <w:szCs w:val="28"/>
        </w:rPr>
      </w:pPr>
      <w:r>
        <w:rPr>
          <w:rFonts w:cs="Times New Roman" w:ascii="Times New Roman" w:hAnsi="Times New Roman"/>
          <w:b/>
          <w:sz w:val="28"/>
          <w:szCs w:val="28"/>
        </w:rPr>
        <w:tab/>
      </w:r>
    </w:p>
    <w:p>
      <w:pPr>
        <w:pStyle w:val="Normal"/>
        <w:jc w:val="center"/>
        <w:rPr>
          <w:color w:val="000000"/>
          <w:highlight w:val="none"/>
          <w:shd w:fill="auto" w:val="clear"/>
        </w:rPr>
      </w:pPr>
      <w:r>
        <w:rPr>
          <w:rFonts w:cs="Times New Roman" w:ascii="Times New Roman" w:hAnsi="Times New Roman"/>
          <w:b/>
          <w:color w:val="000000"/>
          <w:sz w:val="24"/>
          <w:szCs w:val="24"/>
          <w:shd w:fill="auto" w:val="clear"/>
        </w:rPr>
        <w:t>ИСПОЛНЕНИЕ ПРОГРАММЫ</w:t>
      </w:r>
    </w:p>
    <w:p>
      <w:pPr>
        <w:pStyle w:val="Normal"/>
        <w:widowControl w:val="false"/>
        <w:spacing w:lineRule="auto" w:line="240" w:before="0" w:after="0"/>
        <w:jc w:val="center"/>
        <w:rPr>
          <w:color w:val="000000"/>
          <w:highlight w:val="none"/>
          <w:shd w:fill="auto" w:val="clear"/>
        </w:rPr>
      </w:pPr>
      <w:r>
        <w:rPr>
          <w:rFonts w:cs="Times New Roman" w:ascii="Times New Roman" w:hAnsi="Times New Roman"/>
          <w:b/>
          <w:bCs/>
          <w:color w:val="000000"/>
          <w:sz w:val="24"/>
          <w:szCs w:val="24"/>
          <w:shd w:fill="auto" w:val="clear"/>
        </w:rPr>
        <w:t>«Безопасность дорожного движения в Прокопьевском муниципальном округе»</w:t>
      </w:r>
    </w:p>
    <w:p>
      <w:pPr>
        <w:pStyle w:val="Normal"/>
        <w:widowControl w:val="false"/>
        <w:spacing w:lineRule="auto" w:line="240" w:before="0" w:after="0"/>
        <w:jc w:val="center"/>
        <w:rPr>
          <w:color w:val="000000"/>
          <w:highlight w:val="none"/>
          <w:shd w:fill="auto" w:val="clear"/>
        </w:rPr>
      </w:pPr>
      <w:r>
        <w:rPr>
          <w:rFonts w:cs="Times New Roman" w:ascii="Times New Roman" w:hAnsi="Times New Roman"/>
          <w:b/>
          <w:color w:val="000000"/>
          <w:sz w:val="24"/>
          <w:szCs w:val="24"/>
          <w:shd w:fill="auto" w:val="clear"/>
        </w:rPr>
        <w:t>на 2018-2027 годы</w:t>
      </w:r>
      <w:r>
        <w:rPr>
          <w:rFonts w:cs="Times New Roman" w:ascii="Times New Roman" w:hAnsi="Times New Roman"/>
          <w:b/>
          <w:bCs/>
          <w:color w:val="000000"/>
          <w:sz w:val="24"/>
          <w:szCs w:val="24"/>
          <w:shd w:fill="auto" w:val="clear"/>
        </w:rPr>
        <w:t xml:space="preserve"> </w:t>
      </w:r>
    </w:p>
    <w:p>
      <w:pPr>
        <w:pStyle w:val="Normal"/>
        <w:jc w:val="center"/>
        <w:rPr>
          <w:color w:val="000000"/>
          <w:highlight w:val="none"/>
          <w:shd w:fill="auto" w:val="clear"/>
        </w:rPr>
      </w:pPr>
      <w:r>
        <w:rPr>
          <w:rFonts w:cs="Times New Roman" w:ascii="Times New Roman" w:hAnsi="Times New Roman"/>
          <w:b/>
          <w:color w:val="000000"/>
          <w:sz w:val="24"/>
          <w:szCs w:val="24"/>
          <w:shd w:fill="auto" w:val="clear"/>
        </w:rPr>
        <w:t>за 2025 год</w:t>
      </w:r>
    </w:p>
    <w:p>
      <w:pPr>
        <w:pStyle w:val="Normal"/>
        <w:jc w:val="right"/>
        <w:rPr>
          <w:b w:val="false"/>
          <w:bCs w:val="false"/>
        </w:rPr>
      </w:pPr>
      <w:r>
        <w:rPr>
          <w:rFonts w:cs="Times New Roman" w:ascii="Times New Roman" w:hAnsi="Times New Roman"/>
          <w:b w:val="false"/>
          <w:bCs w:val="false"/>
          <w:color w:val="000000"/>
          <w:sz w:val="24"/>
          <w:szCs w:val="24"/>
          <w:shd w:fill="auto" w:val="clear"/>
        </w:rPr>
        <w:t>Приложение № 7</w:t>
      </w:r>
    </w:p>
    <w:p>
      <w:pPr>
        <w:pStyle w:val="Normal"/>
        <w:jc w:val="center"/>
        <w:rPr>
          <w:b w:val="false"/>
          <w:bCs w:val="false"/>
        </w:rPr>
      </w:pPr>
      <w:r>
        <w:rPr>
          <w:rFonts w:cs="Times New Roman" w:ascii="Times New Roman" w:hAnsi="Times New Roman"/>
          <w:b w:val="false"/>
          <w:bCs w:val="false"/>
          <w:color w:val="000000"/>
          <w:sz w:val="24"/>
          <w:szCs w:val="24"/>
          <w:shd w:fill="auto" w:val="clear"/>
        </w:rPr>
        <w:t>Отчет</w:t>
      </w:r>
    </w:p>
    <w:p>
      <w:pPr>
        <w:pStyle w:val="Normal"/>
        <w:spacing w:before="0" w:after="0"/>
        <w:jc w:val="center"/>
        <w:rPr>
          <w:b w:val="false"/>
          <w:bCs w:val="false"/>
        </w:rPr>
      </w:pPr>
      <w:r>
        <w:rPr>
          <w:rFonts w:cs="Times New Roman" w:ascii="Times New Roman" w:hAnsi="Times New Roman"/>
          <w:b w:val="false"/>
          <w:bCs w:val="false"/>
          <w:color w:val="000000"/>
          <w:sz w:val="24"/>
          <w:szCs w:val="24"/>
          <w:shd w:fill="auto" w:val="clear"/>
        </w:rPr>
        <w:t>О достижении целевых показателей (индикаторов) муниципальной программы</w:t>
      </w:r>
    </w:p>
    <w:p>
      <w:pPr>
        <w:pStyle w:val="Normal"/>
        <w:widowControl w:val="false"/>
        <w:spacing w:lineRule="auto" w:line="240" w:before="0" w:after="0"/>
        <w:jc w:val="center"/>
        <w:rPr>
          <w:b w:val="false"/>
          <w:bCs w:val="false"/>
        </w:rPr>
      </w:pPr>
      <w:r>
        <w:rPr>
          <w:rFonts w:cs="Times New Roman" w:ascii="Times New Roman" w:hAnsi="Times New Roman"/>
          <w:b w:val="false"/>
          <w:bCs w:val="false"/>
          <w:color w:val="000000"/>
          <w:sz w:val="24"/>
          <w:szCs w:val="24"/>
          <w:shd w:fill="auto" w:val="clear"/>
        </w:rPr>
        <w:t>«Безопасность дорожного движения в Прокопьевском муниципальном округе» на 2018-2027 годы</w:t>
      </w:r>
    </w:p>
    <w:p>
      <w:pPr>
        <w:pStyle w:val="Normal"/>
        <w:spacing w:before="0" w:after="0"/>
        <w:jc w:val="center"/>
        <w:rPr>
          <w:b w:val="false"/>
          <w:bCs w:val="false"/>
        </w:rPr>
      </w:pPr>
      <w:r>
        <w:rPr>
          <w:rFonts w:cs="Times New Roman" w:ascii="Times New Roman" w:hAnsi="Times New Roman"/>
          <w:b w:val="false"/>
          <w:bCs w:val="false"/>
          <w:color w:val="000000"/>
          <w:sz w:val="24"/>
          <w:szCs w:val="24"/>
          <w:shd w:fill="auto" w:val="clear"/>
        </w:rPr>
        <w:t>за 2025 год</w:t>
      </w:r>
    </w:p>
    <w:tbl>
      <w:tblPr>
        <w:tblpPr w:bottomFromText="0" w:horzAnchor="margin" w:leftFromText="180" w:rightFromText="180" w:tblpX="0" w:tblpXSpec="center" w:tblpY="188" w:topFromText="0" w:vertAnchor="text"/>
        <w:tblW w:w="10742" w:type="dxa"/>
        <w:jc w:val="center"/>
        <w:tblInd w:w="0" w:type="dxa"/>
        <w:tblLayout w:type="fixed"/>
        <w:tblCellMar>
          <w:top w:w="0" w:type="dxa"/>
          <w:left w:w="108" w:type="dxa"/>
          <w:bottom w:w="0" w:type="dxa"/>
          <w:right w:w="108" w:type="dxa"/>
        </w:tblCellMar>
      </w:tblPr>
      <w:tblGrid>
        <w:gridCol w:w="500"/>
        <w:gridCol w:w="3226"/>
        <w:gridCol w:w="1703"/>
        <w:gridCol w:w="1473"/>
        <w:gridCol w:w="803"/>
        <w:gridCol w:w="843"/>
        <w:gridCol w:w="2193"/>
      </w:tblGrid>
      <w:tr>
        <w:trPr>
          <w:trHeight w:val="343" w:hRule="atLeast"/>
        </w:trPr>
        <w:tc>
          <w:tcPr>
            <w:tcW w:w="50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uppressAutoHyphens w:val="true"/>
              <w:overflowPunct w:val="true"/>
              <w:bidi w:val="0"/>
              <w:spacing w:lineRule="auto" w:line="276" w:before="0" w:after="0"/>
              <w:ind w:left="-170" w:right="-113" w:hanging="0"/>
              <w:jc w:val="center"/>
              <w:outlineLvl w:val="0"/>
              <w:rPr>
                <w:highlight w:val="none"/>
                <w:shd w:fill="auto" w:val="clear"/>
              </w:rPr>
            </w:pPr>
            <w:r>
              <w:rPr>
                <w:rFonts w:cs="Times New Roman" w:ascii="Times New Roman" w:hAnsi="Times New Roman"/>
                <w:color w:val="000000"/>
                <w:sz w:val="24"/>
                <w:szCs w:val="24"/>
                <w:shd w:fill="auto" w:val="clear"/>
              </w:rPr>
              <w:t xml:space="preserve">№ </w:t>
            </w:r>
            <w:r>
              <w:rPr>
                <w:rFonts w:cs="Times New Roman" w:ascii="Times New Roman" w:hAnsi="Times New Roman"/>
                <w:color w:val="000000"/>
                <w:sz w:val="24"/>
                <w:szCs w:val="24"/>
                <w:shd w:fill="auto" w:val="clear"/>
              </w:rPr>
              <w:t>п/п</w:t>
            </w:r>
          </w:p>
        </w:tc>
        <w:tc>
          <w:tcPr>
            <w:tcW w:w="322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0"/>
              <w:ind w:left="0" w:hanging="0"/>
              <w:jc w:val="center"/>
              <w:outlineLvl w:val="0"/>
              <w:rPr>
                <w:highlight w:val="none"/>
                <w:shd w:fill="auto" w:val="clear"/>
              </w:rPr>
            </w:pPr>
            <w:r>
              <w:rPr>
                <w:rFonts w:cs="Times New Roman" w:ascii="Times New Roman" w:hAnsi="Times New Roman"/>
                <w:color w:val="000000"/>
                <w:sz w:val="24"/>
                <w:szCs w:val="24"/>
                <w:shd w:fill="auto" w:val="clear"/>
              </w:rPr>
              <w:t>Наименование целевого показателя (индикатора)</w:t>
            </w:r>
          </w:p>
        </w:tc>
        <w:tc>
          <w:tcPr>
            <w:tcW w:w="170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0"/>
              <w:ind w:left="0" w:hanging="0"/>
              <w:jc w:val="center"/>
              <w:outlineLvl w:val="0"/>
              <w:rPr>
                <w:highlight w:val="none"/>
                <w:shd w:fill="auto" w:val="clear"/>
              </w:rPr>
            </w:pPr>
            <w:r>
              <w:rPr>
                <w:rFonts w:cs="Times New Roman" w:ascii="Times New Roman" w:hAnsi="Times New Roman"/>
                <w:color w:val="000000"/>
                <w:sz w:val="24"/>
                <w:szCs w:val="24"/>
                <w:shd w:fill="auto" w:val="clear"/>
              </w:rPr>
              <w:t>Единица измерения</w:t>
            </w:r>
          </w:p>
        </w:tc>
        <w:tc>
          <w:tcPr>
            <w:tcW w:w="311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ind w:left="0" w:hanging="0"/>
              <w:jc w:val="center"/>
              <w:outlineLvl w:val="0"/>
              <w:rPr>
                <w:highlight w:val="none"/>
                <w:shd w:fill="auto" w:val="clear"/>
              </w:rPr>
            </w:pPr>
            <w:r>
              <w:rPr>
                <w:rFonts w:cs="Times New Roman" w:ascii="Times New Roman" w:hAnsi="Times New Roman"/>
                <w:color w:val="000000"/>
                <w:sz w:val="24"/>
                <w:szCs w:val="24"/>
                <w:shd w:fill="auto" w:val="clear"/>
              </w:rPr>
              <w:t>Значения</w:t>
            </w:r>
          </w:p>
          <w:p>
            <w:pPr>
              <w:pStyle w:val="Normal"/>
              <w:widowControl w:val="false"/>
              <w:numPr>
                <w:ilvl w:val="0"/>
                <w:numId w:val="0"/>
              </w:numPr>
              <w:spacing w:lineRule="auto" w:line="240" w:before="0" w:after="0"/>
              <w:ind w:left="0" w:hanging="0"/>
              <w:jc w:val="center"/>
              <w:outlineLvl w:val="0"/>
              <w:rPr>
                <w:highlight w:val="none"/>
                <w:shd w:fill="auto" w:val="clear"/>
              </w:rPr>
            </w:pPr>
            <w:r>
              <w:rPr>
                <w:rFonts w:cs="Times New Roman" w:ascii="Times New Roman" w:hAnsi="Times New Roman"/>
                <w:color w:val="000000"/>
                <w:sz w:val="24"/>
                <w:szCs w:val="24"/>
                <w:shd w:fill="auto" w:val="clear"/>
              </w:rPr>
              <w:t>целевого показателя (индикатора)</w:t>
            </w:r>
          </w:p>
        </w:tc>
        <w:tc>
          <w:tcPr>
            <w:tcW w:w="21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uppressAutoHyphens w:val="true"/>
              <w:overflowPunct w:val="true"/>
              <w:bidi w:val="0"/>
              <w:spacing w:lineRule="auto" w:line="240" w:before="0" w:after="0"/>
              <w:ind w:left="-113" w:right="0" w:hanging="0"/>
              <w:jc w:val="center"/>
              <w:outlineLvl w:val="0"/>
              <w:rPr>
                <w:highlight w:val="none"/>
                <w:shd w:fill="auto" w:val="clear"/>
              </w:rPr>
            </w:pPr>
            <w:r>
              <w:rPr>
                <w:rFonts w:cs="Times New Roman" w:ascii="Times New Roman" w:hAnsi="Times New Roman"/>
                <w:color w:val="000000"/>
                <w:sz w:val="24"/>
                <w:szCs w:val="24"/>
                <w:shd w:fill="auto" w:val="clear"/>
              </w:rPr>
              <w:t>Обоснование отклонений значений целевого показателя</w:t>
            </w:r>
          </w:p>
          <w:p>
            <w:pPr>
              <w:pStyle w:val="Normal"/>
              <w:widowControl w:val="false"/>
              <w:numPr>
                <w:ilvl w:val="0"/>
                <w:numId w:val="0"/>
              </w:numPr>
              <w:spacing w:lineRule="auto" w:line="240" w:before="0" w:after="0"/>
              <w:ind w:left="0" w:hanging="0"/>
              <w:jc w:val="center"/>
              <w:outlineLvl w:val="0"/>
              <w:rPr>
                <w:highlight w:val="none"/>
                <w:shd w:fill="auto" w:val="clear"/>
              </w:rPr>
            </w:pPr>
            <w:r>
              <w:rPr>
                <w:rFonts w:cs="Times New Roman" w:ascii="Times New Roman" w:hAnsi="Times New Roman"/>
                <w:color w:val="000000"/>
                <w:sz w:val="24"/>
                <w:szCs w:val="24"/>
                <w:shd w:fill="auto" w:val="clear"/>
              </w:rPr>
              <w:t>на конец отчетного года (при наличии)</w:t>
            </w:r>
          </w:p>
        </w:tc>
      </w:tr>
      <w:tr>
        <w:trPr/>
        <w:tc>
          <w:tcPr>
            <w:tcW w:w="5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32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170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147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uppressAutoHyphens w:val="true"/>
              <w:overflowPunct w:val="true"/>
              <w:bidi w:val="0"/>
              <w:spacing w:lineRule="auto" w:line="240" w:before="0" w:after="200"/>
              <w:ind w:left="-57" w:right="-113" w:hanging="0"/>
              <w:jc w:val="center"/>
              <w:outlineLvl w:val="0"/>
              <w:rPr>
                <w:highlight w:val="none"/>
                <w:shd w:fill="auto" w:val="clear"/>
              </w:rPr>
            </w:pPr>
            <w:r>
              <w:rPr>
                <w:rFonts w:cs="Times New Roman" w:ascii="Times New Roman" w:hAnsi="Times New Roman"/>
                <w:color w:val="000000"/>
                <w:sz w:val="24"/>
                <w:szCs w:val="24"/>
                <w:shd w:fill="auto" w:val="clear"/>
              </w:rPr>
              <w:t>фактическое исполнение за 2024 год</w:t>
            </w:r>
          </w:p>
        </w:tc>
        <w:tc>
          <w:tcPr>
            <w:tcW w:w="16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0"/>
              <w:ind w:left="0" w:hanging="0"/>
              <w:jc w:val="center"/>
              <w:outlineLvl w:val="0"/>
              <w:rPr>
                <w:highlight w:val="none"/>
                <w:shd w:fill="auto" w:val="clear"/>
              </w:rPr>
            </w:pPr>
            <w:r>
              <w:rPr>
                <w:rFonts w:cs="Times New Roman" w:ascii="Times New Roman" w:hAnsi="Times New Roman"/>
                <w:color w:val="000000"/>
                <w:sz w:val="24"/>
                <w:szCs w:val="24"/>
                <w:shd w:fill="auto" w:val="clear"/>
              </w:rPr>
              <w:t>отчетный год</w:t>
            </w:r>
          </w:p>
        </w:tc>
        <w:tc>
          <w:tcPr>
            <w:tcW w:w="21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r>
      <w:tr>
        <w:trPr>
          <w:trHeight w:val="595" w:hRule="atLeast"/>
        </w:trPr>
        <w:tc>
          <w:tcPr>
            <w:tcW w:w="5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32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170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1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80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200"/>
              <w:ind w:left="0" w:hanging="0"/>
              <w:jc w:val="center"/>
              <w:outlineLvl w:val="0"/>
              <w:rPr>
                <w:highlight w:val="none"/>
                <w:shd w:fill="auto" w:val="clear"/>
              </w:rPr>
            </w:pPr>
            <w:r>
              <w:rPr>
                <w:rFonts w:cs="Times New Roman" w:ascii="Times New Roman" w:hAnsi="Times New Roman"/>
                <w:color w:val="000000"/>
                <w:sz w:val="24"/>
                <w:szCs w:val="24"/>
                <w:shd w:fill="auto" w:val="clear"/>
              </w:rPr>
              <w:t>План 2025</w:t>
            </w:r>
          </w:p>
        </w:tc>
        <w:tc>
          <w:tcPr>
            <w:tcW w:w="84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ind w:left="0" w:hanging="0"/>
              <w:jc w:val="center"/>
              <w:outlineLvl w:val="0"/>
              <w:rPr>
                <w:highlight w:val="none"/>
                <w:shd w:fill="auto" w:val="clear"/>
              </w:rPr>
            </w:pPr>
            <w:r>
              <w:rPr>
                <w:rFonts w:cs="Times New Roman" w:ascii="Times New Roman" w:hAnsi="Times New Roman"/>
                <w:color w:val="000000"/>
                <w:sz w:val="24"/>
                <w:szCs w:val="24"/>
                <w:shd w:fill="auto" w:val="clear"/>
              </w:rPr>
              <w:t>Факт</w:t>
            </w:r>
          </w:p>
          <w:p>
            <w:pPr>
              <w:pStyle w:val="Normal"/>
              <w:widowControl w:val="false"/>
              <w:numPr>
                <w:ilvl w:val="0"/>
                <w:numId w:val="0"/>
              </w:numPr>
              <w:spacing w:lineRule="auto" w:line="240" w:before="0" w:after="0"/>
              <w:ind w:left="0" w:hanging="0"/>
              <w:jc w:val="center"/>
              <w:outlineLvl w:val="0"/>
              <w:rPr>
                <w:highlight w:val="none"/>
                <w:shd w:fill="auto" w:val="clear"/>
              </w:rPr>
            </w:pPr>
            <w:r>
              <w:rPr>
                <w:rFonts w:cs="Times New Roman" w:ascii="Times New Roman" w:hAnsi="Times New Roman"/>
                <w:color w:val="000000"/>
                <w:sz w:val="24"/>
                <w:szCs w:val="24"/>
                <w:shd w:fill="auto" w:val="clear"/>
              </w:rPr>
              <w:t>2025</w:t>
            </w:r>
          </w:p>
        </w:tc>
        <w:tc>
          <w:tcPr>
            <w:tcW w:w="21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r>
      <w:tr>
        <w:trPr/>
        <w:tc>
          <w:tcPr>
            <w:tcW w:w="50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200"/>
              <w:ind w:left="0" w:hanging="0"/>
              <w:jc w:val="center"/>
              <w:outlineLvl w:val="0"/>
              <w:rPr>
                <w:highlight w:val="none"/>
                <w:shd w:fill="auto" w:val="clear"/>
              </w:rPr>
            </w:pPr>
            <w:r>
              <w:rPr>
                <w:rFonts w:cs="Times New Roman" w:ascii="Times New Roman" w:hAnsi="Times New Roman"/>
                <w:color w:val="000000"/>
                <w:sz w:val="24"/>
                <w:szCs w:val="24"/>
                <w:shd w:fill="auto" w:val="clear"/>
              </w:rPr>
              <w:t>1.</w:t>
            </w:r>
          </w:p>
        </w:tc>
        <w:tc>
          <w:tcPr>
            <w:tcW w:w="3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143"/>
              <w:rPr>
                <w:highlight w:val="none"/>
                <w:shd w:fill="auto" w:val="clear"/>
              </w:rPr>
            </w:pPr>
            <w:r>
              <w:rPr>
                <w:rFonts w:cs="Times New Roman" w:ascii="Times New Roman" w:hAnsi="Times New Roman"/>
                <w:color w:val="000000"/>
                <w:sz w:val="24"/>
                <w:szCs w:val="24"/>
                <w:shd w:fill="auto" w:val="clear"/>
              </w:rPr>
              <w:t>Количество детей, пострадавших в результате дорожно-транспортных происшествий на автомобильных дорогах местного значения вне границ населенных пунктов в границах Прокопьевского муниципального округа</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чел.</w:t>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5</w:t>
            </w:r>
          </w:p>
        </w:tc>
        <w:tc>
          <w:tcPr>
            <w:tcW w:w="8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5</w:t>
            </w:r>
          </w:p>
        </w:tc>
        <w:tc>
          <w:tcPr>
            <w:tcW w:w="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4</w:t>
            </w:r>
          </w:p>
        </w:tc>
        <w:tc>
          <w:tcPr>
            <w:tcW w:w="21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200"/>
              <w:ind w:left="0" w:hanging="0"/>
              <w:jc w:val="center"/>
              <w:outlineLvl w:val="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tc>
      </w:tr>
      <w:tr>
        <w:trPr/>
        <w:tc>
          <w:tcPr>
            <w:tcW w:w="50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200"/>
              <w:ind w:left="0" w:hanging="0"/>
              <w:jc w:val="center"/>
              <w:outlineLvl w:val="0"/>
              <w:rPr>
                <w:highlight w:val="none"/>
                <w:shd w:fill="auto" w:val="clear"/>
              </w:rPr>
            </w:pPr>
            <w:r>
              <w:rPr>
                <w:rFonts w:cs="Times New Roman" w:ascii="Times New Roman" w:hAnsi="Times New Roman"/>
                <w:color w:val="000000"/>
                <w:sz w:val="24"/>
                <w:szCs w:val="24"/>
                <w:shd w:fill="auto" w:val="clear"/>
              </w:rPr>
              <w:t>2.</w:t>
            </w:r>
          </w:p>
        </w:tc>
        <w:tc>
          <w:tcPr>
            <w:tcW w:w="3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143"/>
              <w:rPr>
                <w:highlight w:val="none"/>
                <w:shd w:fill="auto" w:val="clear"/>
              </w:rPr>
            </w:pPr>
            <w:r>
              <w:rPr>
                <w:rFonts w:cs="Times New Roman" w:ascii="Times New Roman" w:hAnsi="Times New Roman"/>
                <w:color w:val="000000"/>
                <w:sz w:val="24"/>
                <w:szCs w:val="24"/>
                <w:shd w:fill="auto" w:val="clear"/>
              </w:rPr>
              <w:t>Количество лиц, пострадавших в результате дорожно-транспортных происшествий на автомобильных дорогах местного значения Прокопьевского муниципального округа</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чел.</w:t>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11</w:t>
            </w:r>
          </w:p>
        </w:tc>
        <w:tc>
          <w:tcPr>
            <w:tcW w:w="8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13</w:t>
            </w:r>
          </w:p>
        </w:tc>
        <w:tc>
          <w:tcPr>
            <w:tcW w:w="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13</w:t>
            </w:r>
          </w:p>
        </w:tc>
        <w:tc>
          <w:tcPr>
            <w:tcW w:w="21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8"/>
                <w:szCs w:val="28"/>
                <w:highlight w:val="none"/>
                <w:shd w:fill="auto" w:val="clear"/>
              </w:rPr>
            </w:pPr>
            <w:r>
              <w:rPr>
                <w:rFonts w:cs="Times New Roman" w:ascii="Times New Roman" w:hAnsi="Times New Roman"/>
                <w:sz w:val="28"/>
                <w:szCs w:val="28"/>
                <w:shd w:fill="auto" w:val="clear"/>
              </w:rPr>
            </w:r>
          </w:p>
        </w:tc>
      </w:tr>
      <w:tr>
        <w:trPr/>
        <w:tc>
          <w:tcPr>
            <w:tcW w:w="50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200"/>
              <w:ind w:left="0" w:hanging="0"/>
              <w:jc w:val="center"/>
              <w:outlineLvl w:val="0"/>
              <w:rPr>
                <w:highlight w:val="none"/>
                <w:shd w:fill="auto" w:val="clear"/>
              </w:rPr>
            </w:pPr>
            <w:r>
              <w:rPr>
                <w:rFonts w:cs="Times New Roman" w:ascii="Times New Roman" w:hAnsi="Times New Roman"/>
                <w:color w:val="000000"/>
                <w:sz w:val="24"/>
                <w:szCs w:val="24"/>
                <w:shd w:fill="auto" w:val="clear"/>
              </w:rPr>
              <w:t>3</w:t>
            </w:r>
          </w:p>
        </w:tc>
        <w:tc>
          <w:tcPr>
            <w:tcW w:w="3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rPr>
                <w:highlight w:val="none"/>
                <w:shd w:fill="auto" w:val="clear"/>
              </w:rPr>
            </w:pPr>
            <w:r>
              <w:rPr>
                <w:rFonts w:cs="Times New Roman" w:ascii="Times New Roman" w:hAnsi="Times New Roman"/>
                <w:color w:val="000000"/>
                <w:sz w:val="24"/>
                <w:szCs w:val="24"/>
                <w:shd w:fill="auto" w:val="clear"/>
              </w:rPr>
              <w:t>Количество лиц, погибших в результате дорожно-транспортных происшествий на автомобильных дорогах местного значения Прокопьевского муниципального округ</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чел.</w:t>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1</w:t>
            </w:r>
          </w:p>
        </w:tc>
        <w:tc>
          <w:tcPr>
            <w:tcW w:w="8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1</w:t>
            </w:r>
          </w:p>
        </w:tc>
        <w:tc>
          <w:tcPr>
            <w:tcW w:w="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1</w:t>
            </w:r>
          </w:p>
        </w:tc>
        <w:tc>
          <w:tcPr>
            <w:tcW w:w="21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200"/>
              <w:ind w:left="0" w:hanging="0"/>
              <w:jc w:val="center"/>
              <w:outlineLvl w:val="0"/>
              <w:rPr>
                <w:sz w:val="28"/>
                <w:szCs w:val="28"/>
                <w:highlight w:val="none"/>
                <w:shd w:fill="auto" w:val="clear"/>
              </w:rPr>
            </w:pPr>
            <w:r>
              <w:rPr>
                <w:sz w:val="28"/>
                <w:szCs w:val="28"/>
                <w:shd w:fill="auto" w:val="clear"/>
              </w:rPr>
            </w:r>
          </w:p>
        </w:tc>
      </w:tr>
      <w:tr>
        <w:trPr/>
        <w:tc>
          <w:tcPr>
            <w:tcW w:w="50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200"/>
              <w:ind w:left="0" w:hanging="0"/>
              <w:jc w:val="center"/>
              <w:outlineLvl w:val="0"/>
              <w:rPr>
                <w:highlight w:val="none"/>
                <w:shd w:fill="auto" w:val="clear"/>
              </w:rPr>
            </w:pPr>
            <w:r>
              <w:rPr>
                <w:rFonts w:cs="Times New Roman" w:ascii="Times New Roman" w:hAnsi="Times New Roman"/>
                <w:color w:val="000000"/>
                <w:sz w:val="24"/>
                <w:szCs w:val="24"/>
                <w:shd w:fill="auto" w:val="clear"/>
              </w:rPr>
              <w:t>4</w:t>
            </w:r>
          </w:p>
        </w:tc>
        <w:tc>
          <w:tcPr>
            <w:tcW w:w="32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highlight w:val="none"/>
                <w:shd w:fill="auto" w:val="clear"/>
              </w:rPr>
            </w:pPr>
            <w:r>
              <w:rPr>
                <w:rFonts w:cs="Times New Roman" w:ascii="Times New Roman" w:hAnsi="Times New Roman"/>
                <w:color w:val="000000"/>
                <w:sz w:val="24"/>
                <w:szCs w:val="24"/>
                <w:shd w:fill="auto" w:val="clear"/>
              </w:rPr>
              <w:t>Тяжесть последствий дорожно-транспортных происшествий</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40" w:before="0" w:after="0"/>
              <w:ind w:left="0" w:right="-57" w:hanging="0"/>
              <w:jc w:val="center"/>
              <w:rPr>
                <w:highlight w:val="none"/>
                <w:shd w:fill="auto" w:val="clear"/>
              </w:rPr>
            </w:pPr>
            <w:r>
              <w:rPr>
                <w:rFonts w:cs="Times New Roman" w:ascii="Times New Roman" w:hAnsi="Times New Roman"/>
                <w:color w:val="000000"/>
                <w:sz w:val="24"/>
                <w:szCs w:val="24"/>
                <w:shd w:fill="auto" w:val="clear"/>
              </w:rPr>
              <w:t>количество лиц, погибших в результате ДТП на 100 пострадавших</w:t>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9,0</w:t>
            </w:r>
          </w:p>
        </w:tc>
        <w:tc>
          <w:tcPr>
            <w:tcW w:w="8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7,7</w:t>
            </w:r>
          </w:p>
        </w:tc>
        <w:tc>
          <w:tcPr>
            <w:tcW w:w="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cs="Times New Roman" w:ascii="Times New Roman" w:hAnsi="Times New Roman"/>
                <w:color w:val="000000"/>
                <w:sz w:val="24"/>
                <w:szCs w:val="24"/>
                <w:shd w:fill="auto" w:val="clear"/>
              </w:rPr>
              <w:t>7,7</w:t>
            </w:r>
          </w:p>
        </w:tc>
        <w:tc>
          <w:tcPr>
            <w:tcW w:w="219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200"/>
              <w:ind w:left="0" w:hanging="0"/>
              <w:jc w:val="center"/>
              <w:outlineLvl w:val="0"/>
              <w:rPr>
                <w:sz w:val="28"/>
                <w:szCs w:val="28"/>
              </w:rPr>
            </w:pPr>
            <w:r>
              <w:rPr>
                <w:sz w:val="28"/>
                <w:szCs w:val="28"/>
              </w:rPr>
            </w:r>
          </w:p>
        </w:tc>
      </w:tr>
    </w:tbl>
    <w:p>
      <w:pPr>
        <w:pStyle w:val="Normal"/>
        <w:widowControl w:val="false"/>
        <w:spacing w:before="0" w:after="0"/>
        <w:rPr>
          <w:color w:val="000000"/>
          <w:highlight w:val="none"/>
          <w:shd w:fill="auto" w:val="clear"/>
        </w:rPr>
      </w:pPr>
      <w:r>
        <w:rPr>
          <w:rFonts w:cs="Times New Roman" w:ascii="Times New Roman" w:hAnsi="Times New Roman"/>
          <w:color w:val="000000"/>
          <w:sz w:val="28"/>
          <w:szCs w:val="28"/>
          <w:shd w:fill="auto" w:val="clear"/>
        </w:rPr>
        <w:t xml:space="preserve">Директор муниципальной программы                 О.В. Пушкарева                                                                                                            </w:t>
      </w:r>
    </w:p>
    <w:p>
      <w:pPr>
        <w:pStyle w:val="Normal"/>
        <w:jc w:val="right"/>
        <w:rPr>
          <w:rFonts w:ascii="Times New Roman" w:hAnsi="Times New Roman" w:cs="Times New Roman"/>
          <w:b/>
          <w:color w:val="000000"/>
          <w:sz w:val="28"/>
          <w:szCs w:val="28"/>
          <w:highlight w:val="none"/>
          <w:shd w:fill="auto" w:val="clear"/>
        </w:rPr>
      </w:pPr>
      <w:r>
        <w:rPr>
          <w:rFonts w:cs="Times New Roman" w:ascii="Times New Roman" w:hAnsi="Times New Roman"/>
          <w:b/>
          <w:color w:val="000000"/>
          <w:sz w:val="28"/>
          <w:szCs w:val="28"/>
          <w:shd w:fill="auto" w:val="clear"/>
        </w:rPr>
      </w:r>
    </w:p>
    <w:p>
      <w:pPr>
        <w:pStyle w:val="Normal"/>
        <w:shd w:val="clear" w:fill="FFFFFF"/>
        <w:jc w:val="right"/>
        <w:rPr>
          <w:b w:val="false"/>
          <w:bCs w:val="false"/>
        </w:rPr>
      </w:pPr>
      <w:r>
        <w:rPr>
          <w:rFonts w:cs="Times New Roman" w:ascii="Times New Roman" w:hAnsi="Times New Roman"/>
          <w:b w:val="false"/>
          <w:bCs w:val="false"/>
          <w:color w:val="000000"/>
          <w:sz w:val="28"/>
          <w:szCs w:val="28"/>
          <w:shd w:fill="auto" w:val="clear"/>
        </w:rPr>
        <w:t>Приложение № 8</w:t>
      </w:r>
    </w:p>
    <w:p>
      <w:pPr>
        <w:pStyle w:val="Normal"/>
        <w:shd w:val="clear" w:fill="FFFFFF"/>
        <w:jc w:val="center"/>
        <w:rPr>
          <w:b w:val="false"/>
          <w:bCs w:val="false"/>
        </w:rPr>
      </w:pPr>
      <w:r>
        <w:rPr>
          <w:rFonts w:cs="Times New Roman" w:ascii="Times New Roman" w:hAnsi="Times New Roman"/>
          <w:b w:val="false"/>
          <w:bCs w:val="false"/>
          <w:color w:val="000000"/>
          <w:sz w:val="28"/>
          <w:szCs w:val="28"/>
          <w:shd w:fill="auto" w:val="clear"/>
        </w:rPr>
        <w:t>ОТЧЕТ</w:t>
      </w:r>
    </w:p>
    <w:p>
      <w:pPr>
        <w:pStyle w:val="Normal"/>
        <w:shd w:val="clear" w:fill="FFFFFF"/>
        <w:spacing w:before="0" w:after="0"/>
        <w:jc w:val="center"/>
        <w:rPr>
          <w:b w:val="false"/>
          <w:bCs w:val="false"/>
        </w:rPr>
      </w:pPr>
      <w:r>
        <w:rPr>
          <w:rFonts w:cs="Times New Roman" w:ascii="Times New Roman" w:hAnsi="Times New Roman"/>
          <w:b w:val="false"/>
          <w:bCs w:val="false"/>
          <w:color w:val="000000"/>
          <w:sz w:val="28"/>
          <w:szCs w:val="28"/>
          <w:shd w:fill="auto" w:val="clear"/>
        </w:rPr>
        <w:t>Об объеме финансовых ресурсов муниципальной программы</w:t>
      </w:r>
    </w:p>
    <w:p>
      <w:pPr>
        <w:pStyle w:val="Normal"/>
        <w:widowControl w:val="false"/>
        <w:shd w:val="clear" w:fill="FFFFFF"/>
        <w:spacing w:lineRule="auto" w:line="240" w:before="0" w:after="0"/>
        <w:jc w:val="center"/>
        <w:rPr>
          <w:b w:val="false"/>
          <w:bCs w:val="false"/>
        </w:rPr>
      </w:pPr>
      <w:r>
        <w:rPr>
          <w:rFonts w:cs="Times New Roman" w:ascii="Times New Roman" w:hAnsi="Times New Roman"/>
          <w:b w:val="false"/>
          <w:bCs w:val="false"/>
          <w:color w:val="000000"/>
          <w:sz w:val="28"/>
          <w:szCs w:val="28"/>
          <w:shd w:fill="auto" w:val="clear"/>
        </w:rPr>
        <w:t>«Безопасность дорожного движения в Прокопьевском муниципальном округе» на 2018-2027 годы</w:t>
      </w:r>
    </w:p>
    <w:p>
      <w:pPr>
        <w:pStyle w:val="Normal"/>
        <w:widowControl w:val="false"/>
        <w:shd w:val="clear" w:fill="FFFFFF"/>
        <w:spacing w:lineRule="auto" w:line="240" w:before="0" w:after="0"/>
        <w:jc w:val="center"/>
        <w:rPr>
          <w:b w:val="false"/>
          <w:bCs w:val="false"/>
        </w:rPr>
      </w:pPr>
      <w:r>
        <w:rPr>
          <w:rFonts w:cs="Times New Roman" w:ascii="Times New Roman" w:hAnsi="Times New Roman"/>
          <w:b w:val="false"/>
          <w:bCs w:val="false"/>
          <w:color w:val="000000"/>
          <w:sz w:val="28"/>
          <w:szCs w:val="28"/>
          <w:shd w:fill="auto" w:val="clear"/>
        </w:rPr>
        <w:t>за 2025 год</w:t>
      </w:r>
    </w:p>
    <w:p>
      <w:pPr>
        <w:pStyle w:val="Normal"/>
        <w:widowControl w:val="false"/>
        <w:shd w:val="clear" w:fill="FFFFFF"/>
        <w:spacing w:lineRule="auto" w:line="240" w:before="0" w:after="0"/>
        <w:jc w:val="center"/>
        <w:rPr>
          <w:rFonts w:ascii="Times New Roman" w:hAnsi="Times New Roman" w:cs="Times New Roman"/>
          <w:b w:val="false"/>
          <w:bCs w:val="false"/>
          <w:sz w:val="28"/>
          <w:szCs w:val="28"/>
          <w:highlight w:val="none"/>
          <w:shd w:fill="auto" w:val="clear"/>
        </w:rPr>
      </w:pPr>
      <w:r>
        <w:rPr>
          <w:rFonts w:cs="Times New Roman" w:ascii="Times New Roman" w:hAnsi="Times New Roman"/>
          <w:b w:val="false"/>
          <w:bCs w:val="false"/>
          <w:sz w:val="28"/>
          <w:szCs w:val="28"/>
          <w:shd w:fill="auto" w:val="clear"/>
        </w:rPr>
      </w:r>
    </w:p>
    <w:tbl>
      <w:tblPr>
        <w:tblW w:w="10423" w:type="dxa"/>
        <w:jc w:val="left"/>
        <w:tblInd w:w="-134" w:type="dxa"/>
        <w:tblLayout w:type="fixed"/>
        <w:tblCellMar>
          <w:top w:w="0" w:type="dxa"/>
          <w:left w:w="108" w:type="dxa"/>
          <w:bottom w:w="0" w:type="dxa"/>
          <w:right w:w="108" w:type="dxa"/>
        </w:tblCellMar>
      </w:tblPr>
      <w:tblGrid>
        <w:gridCol w:w="509"/>
        <w:gridCol w:w="2748"/>
        <w:gridCol w:w="1268"/>
        <w:gridCol w:w="1246"/>
        <w:gridCol w:w="1369"/>
        <w:gridCol w:w="1350"/>
        <w:gridCol w:w="1932"/>
      </w:tblGrid>
      <w:tr>
        <w:trPr>
          <w:trHeight w:val="778" w:hRule="atLeast"/>
        </w:trPr>
        <w:tc>
          <w:tcPr>
            <w:tcW w:w="5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nos" w:hAnsi="Tinos"/>
                <w:bCs w:val="false"/>
                <w:iCs w:val="false"/>
                <w:color w:val="000000"/>
                <w:szCs w:val="24"/>
                <w:shd w:fill="auto" w:val="clear"/>
                <w:lang w:eastAsia="ru-RU"/>
              </w:rPr>
              <w:t>№</w:t>
            </w:r>
          </w:p>
          <w:p>
            <w:pPr>
              <w:pStyle w:val="Normal"/>
              <w:widowControl w:val="false"/>
              <w:overflowPunct w:val="true"/>
              <w:bidi w:val="0"/>
              <w:spacing w:lineRule="auto" w:line="240" w:before="0" w:after="0"/>
              <w:ind w:left="-170" w:right="-113" w:hanging="0"/>
              <w:jc w:val="center"/>
              <w:rPr/>
            </w:pPr>
            <w:r>
              <w:rPr>
                <w:rFonts w:eastAsia="Times New Roman" w:cs="Times New Roman" w:ascii="Tinos" w:hAnsi="Tinos"/>
                <w:bCs w:val="false"/>
                <w:iCs w:val="false"/>
                <w:color w:val="000000"/>
                <w:szCs w:val="24"/>
                <w:shd w:fill="auto" w:val="clear"/>
                <w:lang w:eastAsia="ru-RU"/>
              </w:rPr>
              <w:t>п/п</w:t>
            </w:r>
          </w:p>
        </w:tc>
        <w:tc>
          <w:tcPr>
            <w:tcW w:w="274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Наименование муниципальной программы, подпрограммы, мероприятия</w:t>
            </w:r>
          </w:p>
        </w:tc>
        <w:tc>
          <w:tcPr>
            <w:tcW w:w="126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Источники финансирования</w:t>
            </w:r>
          </w:p>
        </w:tc>
        <w:tc>
          <w:tcPr>
            <w:tcW w:w="26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Объем финансовых ресурсов, тыс. рублей</w:t>
            </w:r>
          </w:p>
        </w:tc>
        <w:tc>
          <w:tcPr>
            <w:tcW w:w="135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57" w:right="-113" w:hanging="0"/>
              <w:jc w:val="left"/>
              <w:rPr>
                <w:sz w:val="22"/>
                <w:szCs w:val="22"/>
              </w:rPr>
            </w:pPr>
            <w:r>
              <w:rPr>
                <w:rFonts w:eastAsia="Times New Roman" w:cs="Times New Roman" w:ascii="Times New Roman" w:hAnsi="Times New Roman"/>
                <w:bCs w:val="false"/>
                <w:iCs w:val="false"/>
                <w:color w:val="000000"/>
                <w:sz w:val="22"/>
                <w:szCs w:val="22"/>
                <w:shd w:fill="auto" w:val="clear"/>
                <w:lang w:eastAsia="ru-RU"/>
              </w:rPr>
              <w:t>Исполнитель программного мероприятия</w:t>
            </w:r>
          </w:p>
        </w:tc>
        <w:tc>
          <w:tcPr>
            <w:tcW w:w="1932" w:type="dxa"/>
            <w:vMerge w:val="restart"/>
            <w:tcBorders>
              <w:top w:val="single" w:sz="4" w:space="0" w:color="000000"/>
              <w:left w:val="single" w:sz="4" w:space="0" w:color="000000"/>
              <w:bottom w:val="single" w:sz="4" w:space="0" w:color="000000"/>
              <w:right w:val="single" w:sz="4" w:space="0" w:color="000000"/>
            </w:tcBorders>
            <w:shd w:fill="F2DCDB" w:val="clear"/>
            <w:vAlign w:val="center"/>
          </w:tcPr>
          <w:p>
            <w:pPr>
              <w:pStyle w:val="Normal"/>
              <w:widowControl w:val="false"/>
              <w:spacing w:lineRule="auto" w:line="240" w:before="0" w:after="0"/>
              <w:rPr>
                <w:sz w:val="22"/>
                <w:szCs w:val="22"/>
              </w:rPr>
            </w:pPr>
            <w:r>
              <w:rPr>
                <w:rFonts w:eastAsia="Times New Roman" w:cs="Times New Roman" w:ascii="Times New Roman" w:hAnsi="Times New Roman"/>
                <w:bCs w:val="false"/>
                <w:iCs w:val="false"/>
                <w:color w:val="000000"/>
                <w:sz w:val="22"/>
                <w:szCs w:val="22"/>
                <w:shd w:fill="auto" w:val="clear"/>
                <w:lang w:eastAsia="ru-RU"/>
              </w:rPr>
              <w:t>Примечание на что направлены средства (приобретение товаров, выполнение работ или услуг)</w:t>
            </w:r>
          </w:p>
        </w:tc>
      </w:tr>
      <w:tr>
        <w:trPr>
          <w:trHeight w:val="312"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color w:val="000000"/>
                <w:highlight w:val="none"/>
                <w:shd w:fill="auto" w:val="clear"/>
              </w:rPr>
            </w:pPr>
            <w:r>
              <w:rPr>
                <w:color w:val="000000"/>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126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1246" w:type="dxa"/>
            <w:tcBorders>
              <w:top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40" w:before="0" w:after="0"/>
              <w:ind w:left="-57" w:right="-113" w:hanging="0"/>
              <w:jc w:val="center"/>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Сводная бюджетная роспись, план 2025 года</w:t>
            </w:r>
          </w:p>
        </w:tc>
        <w:tc>
          <w:tcPr>
            <w:tcW w:w="1369" w:type="dxa"/>
            <w:tcBorders>
              <w:top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40" w:before="0" w:after="0"/>
              <w:ind w:left="-113" w:right="-113" w:hanging="0"/>
              <w:jc w:val="center"/>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Кассовое исполнение за январь - декабрь</w:t>
            </w:r>
          </w:p>
          <w:p>
            <w:pPr>
              <w:pStyle w:val="Normal"/>
              <w:widowControl w:val="false"/>
              <w:suppressAutoHyphens w:val="true"/>
              <w:overflowPunct w:val="true"/>
              <w:bidi w:val="0"/>
              <w:spacing w:lineRule="auto" w:line="240" w:before="0" w:after="0"/>
              <w:ind w:left="-113" w:right="-113" w:hanging="0"/>
              <w:jc w:val="center"/>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2025 года</w:t>
            </w:r>
          </w:p>
        </w:tc>
        <w:tc>
          <w:tcPr>
            <w:tcW w:w="1350"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color w:val="000000"/>
                <w:sz w:val="20"/>
                <w:szCs w:val="20"/>
                <w:highlight w:val="none"/>
                <w:shd w:fill="auto" w:val="clear"/>
              </w:rPr>
            </w:pPr>
            <w:r>
              <w:rPr>
                <w:color w:val="000000"/>
                <w:sz w:val="20"/>
                <w:szCs w:val="20"/>
                <w:shd w:fill="auto" w:val="clear"/>
              </w:rPr>
            </w:r>
          </w:p>
        </w:tc>
        <w:tc>
          <w:tcPr>
            <w:tcW w:w="1932"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color w:val="000000"/>
                <w:sz w:val="20"/>
                <w:szCs w:val="20"/>
                <w:highlight w:val="none"/>
                <w:shd w:fill="auto" w:val="clear"/>
              </w:rPr>
            </w:pPr>
            <w:r>
              <w:rPr>
                <w:color w:val="000000"/>
                <w:sz w:val="20"/>
                <w:szCs w:val="20"/>
                <w:shd w:fill="auto" w:val="clear"/>
              </w:rPr>
            </w:r>
          </w:p>
        </w:tc>
      </w:tr>
      <w:tr>
        <w:trPr>
          <w:trHeight w:val="312"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1</w:t>
            </w:r>
          </w:p>
        </w:tc>
        <w:tc>
          <w:tcPr>
            <w:tcW w:w="274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2</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3</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4</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t>5</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jc w:val="center"/>
              <w:rPr>
                <w:sz w:val="20"/>
                <w:szCs w:val="20"/>
              </w:rPr>
            </w:pPr>
            <w:r>
              <w:rPr>
                <w:rFonts w:eastAsia="Times New Roman" w:cs="Times New Roman" w:ascii="Times New Roman" w:hAnsi="Times New Roman"/>
                <w:bCs w:val="false"/>
                <w:iCs w:val="false"/>
                <w:color w:val="000000"/>
                <w:sz w:val="20"/>
                <w:szCs w:val="20"/>
                <w:shd w:fill="auto" w:val="clear"/>
                <w:lang w:eastAsia="ru-RU"/>
              </w:rPr>
              <w:t>6</w:t>
            </w:r>
          </w:p>
        </w:tc>
        <w:tc>
          <w:tcPr>
            <w:tcW w:w="1932" w:type="dxa"/>
            <w:tcBorders>
              <w:bottom w:val="single" w:sz="4" w:space="0" w:color="000000"/>
              <w:right w:val="single" w:sz="4" w:space="0" w:color="000000"/>
            </w:tcBorders>
            <w:vAlign w:val="center"/>
          </w:tcPr>
          <w:p>
            <w:pPr>
              <w:pStyle w:val="Normal"/>
              <w:widowControl w:val="false"/>
              <w:spacing w:lineRule="auto" w:line="240" w:before="0" w:after="0"/>
              <w:jc w:val="center"/>
              <w:rPr>
                <w:sz w:val="20"/>
                <w:szCs w:val="20"/>
              </w:rPr>
            </w:pPr>
            <w:r>
              <w:rPr>
                <w:rFonts w:eastAsia="Times New Roman" w:cs="Times New Roman" w:ascii="Times New Roman" w:hAnsi="Times New Roman"/>
                <w:bCs w:val="false"/>
                <w:iCs w:val="false"/>
                <w:color w:val="000000"/>
                <w:sz w:val="20"/>
                <w:szCs w:val="20"/>
                <w:shd w:fill="auto" w:val="clear"/>
                <w:lang w:eastAsia="ru-RU"/>
              </w:rPr>
              <w:t>7</w:t>
            </w:r>
          </w:p>
        </w:tc>
      </w:tr>
      <w:tr>
        <w:trPr>
          <w:trHeight w:val="1487"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r>
          </w:p>
        </w:tc>
        <w:tc>
          <w:tcPr>
            <w:tcW w:w="2748" w:type="dxa"/>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Муниципальная программа «Безопасность дорожного движения в Прокопьевском муниципальном округе» на 2020 - 2027 годы</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ВСЕГО</w:t>
            </w:r>
          </w:p>
        </w:tc>
        <w:tc>
          <w:tcPr>
            <w:tcW w:w="1246" w:type="dxa"/>
            <w:tcBorders>
              <w:bottom w:val="single" w:sz="4" w:space="0" w:color="000000"/>
              <w:right w:val="single" w:sz="4" w:space="0" w:color="000000"/>
            </w:tcBorders>
            <w:vAlign w:val="center"/>
          </w:tcPr>
          <w:p>
            <w:pPr>
              <w:pStyle w:val="Normal"/>
              <w:widowControl w:val="false"/>
              <w:spacing w:before="0" w:after="0"/>
              <w:jc w:val="center"/>
              <w:rPr>
                <w:highlight w:val="none"/>
                <w:shd w:fill="auto" w:val="clear"/>
              </w:rPr>
            </w:pPr>
            <w:r>
              <w:rPr>
                <w:rFonts w:eastAsia="Times New Roman" w:cs="Times New Roman" w:ascii="Times New Roman" w:hAnsi="Times New Roman"/>
                <w:b w:val="false"/>
                <w:bCs w:val="false"/>
                <w:i w:val="false"/>
                <w:iCs w:val="false"/>
                <w:color w:val="000000"/>
                <w:sz w:val="20"/>
                <w:szCs w:val="20"/>
                <w:shd w:fill="auto" w:val="clear"/>
                <w:lang w:eastAsia="ru-RU"/>
              </w:rPr>
              <w:t>201 070,6</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 w:val="20"/>
                <w:szCs w:val="24"/>
                <w:shd w:fill="auto" w:val="clear"/>
                <w:lang w:eastAsia="ru-RU"/>
              </w:rPr>
              <w:t>201 064,8</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rFonts w:ascii="Times New Roman" w:hAnsi="Times New Roman" w:eastAsia="Times New Roman" w:cs="Times New Roman"/>
                <w:color w:val="000000"/>
                <w:sz w:val="20"/>
                <w:szCs w:val="20"/>
                <w:highlight w:val="none"/>
                <w:shd w:fill="auto" w:val="clear"/>
                <w:lang w:eastAsia="ru-RU"/>
              </w:rPr>
            </w:pPr>
            <w:r>
              <w:rPr>
                <w:rFonts w:eastAsia="Times New Roman" w:cs="Times New Roman" w:ascii="Times New Roman" w:hAnsi="Times New Roman"/>
                <w:color w:val="000000"/>
                <w:sz w:val="20"/>
                <w:szCs w:val="20"/>
                <w:shd w:fill="auto" w:val="clear"/>
                <w:lang w:eastAsia="ru-RU"/>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r>
      <w:tr>
        <w:trPr>
          <w:trHeight w:val="804"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r>
          </w:p>
        </w:tc>
        <w:tc>
          <w:tcPr>
            <w:tcW w:w="2748" w:type="dxa"/>
            <w:tcBorders>
              <w:bottom w:val="single" w:sz="4" w:space="0" w:color="000000"/>
              <w:right w:val="single" w:sz="4" w:space="0" w:color="000000"/>
            </w:tcBorders>
            <w:shd w:fill="FFFFFF" w:val="clear"/>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Управление образования администрации Прокопьевского муниципального округа</w:t>
            </w:r>
          </w:p>
        </w:tc>
        <w:tc>
          <w:tcPr>
            <w:tcW w:w="1268" w:type="dxa"/>
            <w:vMerge w:val="restart"/>
            <w:tcBorders>
              <w:left w:val="single" w:sz="4" w:space="0" w:color="000000"/>
              <w:bottom w:val="single" w:sz="4" w:space="0" w:color="000000"/>
              <w:right w:val="single" w:sz="4" w:space="0" w:color="000000"/>
            </w:tcBorders>
            <w:shd w:fill="FFFFFF" w:val="clear"/>
            <w:vAlign w:val="center"/>
          </w:tcPr>
          <w:p>
            <w:pPr>
              <w:pStyle w:val="Normal"/>
              <w:widowControl w:val="false"/>
              <w:spacing w:lineRule="auto" w:line="240" w:before="0" w:after="0"/>
              <w:jc w:val="left"/>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jc w:val="left"/>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shd w:fill="FFFFFF" w:val="clear"/>
            <w:vAlign w:val="center"/>
          </w:tcPr>
          <w:p>
            <w:pPr>
              <w:pStyle w:val="Normal"/>
              <w:widowControl w:val="false"/>
              <w:spacing w:before="0" w:after="0"/>
              <w:jc w:val="center"/>
              <w:rPr>
                <w:highlight w:val="none"/>
                <w:shd w:fill="auto" w:val="clear"/>
              </w:rPr>
            </w:pPr>
            <w:r>
              <w:rPr>
                <w:rFonts w:eastAsia="Times New Roman" w:cs="Times New Roman" w:ascii="Times New Roman" w:hAnsi="Times New Roman"/>
                <w:b w:val="false"/>
                <w:bCs w:val="false"/>
                <w:i w:val="false"/>
                <w:iCs w:val="false"/>
                <w:color w:val="000000" w:themeColor="dark1"/>
                <w:sz w:val="20"/>
                <w:szCs w:val="20"/>
                <w:shd w:fill="auto" w:val="clear"/>
                <w:lang w:eastAsia="ru-RU"/>
              </w:rPr>
              <w:t>933,2</w:t>
            </w:r>
          </w:p>
        </w:tc>
        <w:tc>
          <w:tcPr>
            <w:tcW w:w="1369" w:type="dxa"/>
            <w:tcBorders>
              <w:bottom w:val="single" w:sz="4" w:space="0" w:color="000000"/>
              <w:right w:val="single" w:sz="4" w:space="0" w:color="000000"/>
            </w:tcBorders>
            <w:shd w:fill="FFFFFF" w:val="clear"/>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 w:val="false"/>
                <w:bCs w:val="false"/>
                <w:i w:val="false"/>
                <w:iCs w:val="false"/>
                <w:color w:val="000000"/>
                <w:sz w:val="20"/>
                <w:szCs w:val="24"/>
                <w:shd w:fill="auto" w:val="clear"/>
                <w:lang w:eastAsia="ru-RU"/>
              </w:rPr>
              <w:t>928,1</w:t>
            </w:r>
          </w:p>
        </w:tc>
        <w:tc>
          <w:tcPr>
            <w:tcW w:w="1350" w:type="dxa"/>
            <w:tcBorders>
              <w:bottom w:val="single" w:sz="4" w:space="0" w:color="000000"/>
              <w:right w:val="single" w:sz="4" w:space="0" w:color="000000"/>
            </w:tcBorders>
            <w:vAlign w:val="bottom"/>
          </w:tcPr>
          <w:p>
            <w:pPr>
              <w:pStyle w:val="Normal"/>
              <w:widowControl w:val="false"/>
              <w:tabs>
                <w:tab w:val="clear" w:pos="708"/>
                <w:tab w:val="left" w:pos="960" w:leader="none"/>
              </w:tabs>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r>
      <w:tr>
        <w:trPr>
          <w:trHeight w:val="571"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r>
          </w:p>
        </w:tc>
        <w:tc>
          <w:tcPr>
            <w:tcW w:w="2748" w:type="dxa"/>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МКУ «УДЖНП» Прокопьевского муниципального района</w:t>
            </w:r>
          </w:p>
        </w:tc>
        <w:tc>
          <w:tcPr>
            <w:tcW w:w="126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46" w:type="dxa"/>
            <w:tcBorders>
              <w:bottom w:val="single" w:sz="4" w:space="0" w:color="000000"/>
              <w:right w:val="single" w:sz="4" w:space="0" w:color="000000"/>
            </w:tcBorders>
            <w:vAlign w:val="center"/>
          </w:tcPr>
          <w:p>
            <w:pPr>
              <w:pStyle w:val="Normal"/>
              <w:widowControl w:val="false"/>
              <w:spacing w:before="0" w:after="0"/>
              <w:jc w:val="center"/>
              <w:rPr>
                <w:highlight w:val="none"/>
                <w:shd w:fill="auto" w:val="clear"/>
              </w:rPr>
            </w:pPr>
            <w:r>
              <w:rPr>
                <w:rFonts w:eastAsia="Times New Roman" w:cs="Times New Roman" w:ascii="Times New Roman" w:hAnsi="Times New Roman"/>
                <w:bCs w:val="false"/>
                <w:iCs w:val="false"/>
                <w:color w:val="000000" w:themeColor="dark1"/>
                <w:sz w:val="20"/>
                <w:szCs w:val="24"/>
                <w:shd w:fill="auto" w:val="clear"/>
                <w:lang w:eastAsia="ru-RU"/>
              </w:rPr>
              <w:t>13 804,8</w:t>
            </w:r>
          </w:p>
        </w:tc>
        <w:tc>
          <w:tcPr>
            <w:tcW w:w="1369" w:type="dxa"/>
            <w:tcBorders>
              <w:bottom w:val="single" w:sz="4" w:space="0" w:color="000000"/>
              <w:right w:val="single" w:sz="4" w:space="0" w:color="000000"/>
            </w:tcBorders>
            <w:vAlign w:val="center"/>
          </w:tcPr>
          <w:p>
            <w:pPr>
              <w:pStyle w:val="Normal"/>
              <w:widowControl w:val="false"/>
              <w:spacing w:before="0" w:after="0"/>
              <w:jc w:val="center"/>
              <w:rPr>
                <w:highlight w:val="none"/>
                <w:shd w:fill="auto" w:val="clear"/>
              </w:rPr>
            </w:pPr>
            <w:r>
              <w:rPr>
                <w:rFonts w:eastAsia="Times New Roman" w:cs="Times New Roman" w:ascii="Times New Roman" w:hAnsi="Times New Roman"/>
                <w:bCs w:val="false"/>
                <w:iCs w:val="false"/>
                <w:color w:val="000000" w:themeColor="dark1"/>
                <w:sz w:val="20"/>
                <w:szCs w:val="24"/>
                <w:shd w:fill="auto" w:val="clear"/>
                <w:lang w:eastAsia="ru-RU"/>
              </w:rPr>
              <w:t>13 804,8</w:t>
            </w:r>
          </w:p>
        </w:tc>
        <w:tc>
          <w:tcPr>
            <w:tcW w:w="1350" w:type="dxa"/>
            <w:tcBorders>
              <w:bottom w:val="single" w:sz="4" w:space="0" w:color="000000"/>
              <w:right w:val="single" w:sz="4" w:space="0" w:color="000000"/>
            </w:tcBorders>
            <w:vAlign w:val="bottom"/>
          </w:tcPr>
          <w:p>
            <w:pPr>
              <w:pStyle w:val="Normal"/>
              <w:widowControl w:val="false"/>
              <w:tabs>
                <w:tab w:val="clear" w:pos="708"/>
                <w:tab w:val="left" w:pos="960" w:leader="none"/>
              </w:tabs>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r>
      <w:tr>
        <w:trPr>
          <w:trHeight w:val="373"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r>
          </w:p>
        </w:tc>
        <w:tc>
          <w:tcPr>
            <w:tcW w:w="2748" w:type="dxa"/>
            <w:vMerge w:val="restart"/>
            <w:tcBorders>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МКУ «ТУ ПМО»</w:t>
            </w:r>
          </w:p>
        </w:tc>
        <w:tc>
          <w:tcPr>
            <w:tcW w:w="126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46" w:type="dxa"/>
            <w:tcBorders>
              <w:bottom w:val="single" w:sz="4" w:space="0" w:color="000000"/>
              <w:right w:val="single" w:sz="4" w:space="0" w:color="000000"/>
            </w:tcBorders>
            <w:vAlign w:val="center"/>
          </w:tcPr>
          <w:p>
            <w:pPr>
              <w:pStyle w:val="Normal"/>
              <w:widowControl w:val="false"/>
              <w:spacing w:before="0" w:after="0"/>
              <w:jc w:val="center"/>
              <w:rPr>
                <w:highlight w:val="none"/>
                <w:shd w:fill="auto" w:val="clear"/>
              </w:rPr>
            </w:pPr>
            <w:r>
              <w:rPr>
                <w:rFonts w:eastAsia="Times New Roman" w:cs="Times New Roman" w:ascii="Times New Roman" w:hAnsi="Times New Roman"/>
                <w:bCs w:val="false"/>
                <w:iCs w:val="false"/>
                <w:color w:val="000000" w:themeColor="dark1"/>
                <w:sz w:val="20"/>
                <w:szCs w:val="24"/>
                <w:shd w:fill="auto" w:val="clear"/>
                <w:lang w:eastAsia="ru-RU"/>
              </w:rPr>
              <w:t>140 294,6</w:t>
            </w:r>
          </w:p>
        </w:tc>
        <w:tc>
          <w:tcPr>
            <w:tcW w:w="1369" w:type="dxa"/>
            <w:tcBorders>
              <w:bottom w:val="single" w:sz="4" w:space="0" w:color="000000"/>
              <w:right w:val="single" w:sz="4" w:space="0" w:color="000000"/>
            </w:tcBorders>
            <w:vAlign w:val="center"/>
          </w:tcPr>
          <w:p>
            <w:pPr>
              <w:pStyle w:val="Normal"/>
              <w:widowControl w:val="false"/>
              <w:spacing w:before="0" w:after="0"/>
              <w:jc w:val="center"/>
              <w:rPr>
                <w:highlight w:val="none"/>
                <w:shd w:fill="auto" w:val="clear"/>
              </w:rPr>
            </w:pPr>
            <w:r>
              <w:rPr>
                <w:rFonts w:eastAsia="Times New Roman" w:cs="Times New Roman" w:ascii="Times New Roman" w:hAnsi="Times New Roman"/>
                <w:bCs w:val="false"/>
                <w:iCs w:val="false"/>
                <w:color w:val="000000" w:themeColor="dark1"/>
                <w:sz w:val="20"/>
                <w:szCs w:val="24"/>
                <w:shd w:fill="auto" w:val="clear"/>
                <w:lang w:eastAsia="ru-RU"/>
              </w:rPr>
              <w:t>140 293,9</w:t>
            </w:r>
          </w:p>
        </w:tc>
        <w:tc>
          <w:tcPr>
            <w:tcW w:w="1350" w:type="dxa"/>
            <w:tcBorders>
              <w:bottom w:val="single" w:sz="4" w:space="0" w:color="000000"/>
              <w:right w:val="single" w:sz="4" w:space="0" w:color="000000"/>
            </w:tcBorders>
            <w:vAlign w:val="bottom"/>
          </w:tcPr>
          <w:p>
            <w:pPr>
              <w:pStyle w:val="Normal"/>
              <w:widowControl w:val="false"/>
              <w:tabs>
                <w:tab w:val="clear" w:pos="708"/>
                <w:tab w:val="left" w:pos="960" w:leader="none"/>
              </w:tabs>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r>
      <w:tr>
        <w:trPr>
          <w:trHeight w:val="743"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областной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 w:val="20"/>
                <w:szCs w:val="24"/>
                <w:shd w:fill="auto" w:val="clear"/>
                <w:lang w:eastAsia="ru-RU"/>
              </w:rPr>
              <w:t>46 038,0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 w:val="20"/>
                <w:szCs w:val="24"/>
                <w:shd w:fill="auto" w:val="clear"/>
                <w:lang w:eastAsia="ru-RU"/>
              </w:rPr>
              <w:t>46 038,0</w:t>
            </w:r>
          </w:p>
        </w:tc>
        <w:tc>
          <w:tcPr>
            <w:tcW w:w="1350" w:type="dxa"/>
            <w:tcBorders>
              <w:bottom w:val="single" w:sz="4" w:space="0" w:color="000000"/>
              <w:right w:val="single" w:sz="4" w:space="0" w:color="000000"/>
            </w:tcBorders>
            <w:vAlign w:val="bottom"/>
          </w:tcPr>
          <w:p>
            <w:pPr>
              <w:pStyle w:val="Normal"/>
              <w:widowControl w:val="false"/>
              <w:tabs>
                <w:tab w:val="clear" w:pos="708"/>
                <w:tab w:val="left" w:pos="960" w:leader="none"/>
              </w:tabs>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r>
      <w:tr>
        <w:trPr>
          <w:trHeight w:val="3140"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1</w:t>
            </w:r>
          </w:p>
        </w:tc>
        <w:tc>
          <w:tcPr>
            <w:tcW w:w="2748"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Организация и проведение среди образовательных учреждений Прокопьевского муниципального округа акций «Внимание: дети», «Юный пешеход», «Юный велосипедист» и т.д. (изготовление печатной продукции (методические пособия учителям), приобретение специальной велотехники, детских удерживающих устройств для перевозки дошкольников)</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113" w:right="-113" w:hanging="0"/>
              <w:jc w:val="left"/>
              <w:rPr>
                <w:sz w:val="20"/>
                <w:szCs w:val="20"/>
              </w:rPr>
            </w:pPr>
            <w:r>
              <w:rPr>
                <w:rFonts w:eastAsia="Times New Roman" w:cs="Times New Roman" w:ascii="Times New Roman" w:hAnsi="Times New Roman"/>
                <w:bCs w:val="false"/>
                <w:iCs w:val="false"/>
                <w:color w:val="000000"/>
                <w:sz w:val="20"/>
                <w:szCs w:val="20"/>
                <w:shd w:fill="auto" w:val="clear"/>
                <w:lang w:eastAsia="ru-RU"/>
              </w:rPr>
              <w:t>Управление образования администрации Прокопьевского муниципального района, ОГИБДД отдела МВД России «Прокопьевский» (по согласованию)</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За 2025 год без денежных затрат</w:t>
            </w:r>
          </w:p>
          <w:p>
            <w:pPr>
              <w:pStyle w:val="Normal"/>
              <w:widowControl w:val="false"/>
              <w:spacing w:lineRule="auto" w:line="240" w:before="0" w:after="0"/>
              <w:rPr>
                <w:rFonts w:ascii="Calibri" w:hAnsi="Calibri" w:eastAsia="Times New Roman" w:cs="Calibri"/>
                <w:b w:val="false"/>
                <w:bCs w:val="false"/>
                <w:i w:val="false"/>
                <w:i w:val="false"/>
                <w:iCs w:val="false"/>
                <w:color w:val="FF0000"/>
                <w:sz w:val="20"/>
                <w:szCs w:val="20"/>
                <w:highlight w:val="none"/>
                <w:shd w:fill="auto" w:val="clear"/>
                <w:lang w:eastAsia="ru-RU"/>
              </w:rPr>
            </w:pPr>
            <w:r>
              <w:rPr>
                <w:rFonts w:eastAsia="Times New Roman" w:cs="Calibri"/>
                <w:b w:val="false"/>
                <w:bCs w:val="false"/>
                <w:i w:val="false"/>
                <w:iCs w:val="false"/>
                <w:color w:val="FF0000"/>
                <w:sz w:val="20"/>
                <w:szCs w:val="20"/>
                <w:shd w:fill="auto" w:val="clear"/>
                <w:lang w:eastAsia="ru-RU"/>
              </w:rPr>
            </w:r>
          </w:p>
        </w:tc>
      </w:tr>
      <w:tr>
        <w:trPr>
          <w:trHeight w:val="1630"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2</w:t>
            </w:r>
          </w:p>
        </w:tc>
        <w:tc>
          <w:tcPr>
            <w:tcW w:w="2748" w:type="dxa"/>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Приобретение развивающих игр по ПДД для дошкольников</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57" w:right="-113" w:hanging="0"/>
              <w:jc w:val="left"/>
              <w:rPr>
                <w:sz w:val="20"/>
                <w:szCs w:val="20"/>
              </w:rPr>
            </w:pPr>
            <w:r>
              <w:rPr>
                <w:rFonts w:eastAsia="Times New Roman" w:cs="Times New Roman" w:ascii="Times New Roman" w:hAnsi="Times New Roman"/>
                <w:bCs w:val="false"/>
                <w:iCs w:val="false"/>
                <w:color w:val="000000"/>
                <w:sz w:val="20"/>
                <w:szCs w:val="20"/>
                <w:shd w:fill="auto" w:val="clear"/>
                <w:lang w:eastAsia="ru-RU"/>
              </w:rPr>
              <w:t>Управление образования администрации Прокопьевского муниципального округа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eastAsia="Times New Roman" w:cs="Calibri"/>
                <w:bCs w:val="false"/>
                <w:iCs w:val="false"/>
                <w:color w:val="FF0000"/>
                <w:sz w:val="20"/>
                <w:szCs w:val="20"/>
                <w:shd w:fill="auto" w:val="clear"/>
                <w:lang w:eastAsia="ru-RU"/>
              </w:rPr>
              <w:t> </w:t>
            </w:r>
            <w:r>
              <w:rPr>
                <w:rFonts w:cs="Times New Roman" w:ascii="Times New Roman" w:hAnsi="Times New Roman"/>
                <w:bCs w:val="false"/>
                <w:iCs w:val="false"/>
                <w:color w:val="000000"/>
                <w:sz w:val="20"/>
                <w:szCs w:val="20"/>
                <w:shd w:fill="auto" w:val="clear"/>
              </w:rPr>
              <w:t>за 2025 год без денежных затрат, использованы методические материалы сети «Интернет» и их распечатка по изучению Правил дорожного движения для дошкольных учреждений</w:t>
            </w:r>
          </w:p>
        </w:tc>
      </w:tr>
      <w:tr>
        <w:trPr>
          <w:trHeight w:val="936"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3</w:t>
            </w:r>
          </w:p>
        </w:tc>
        <w:tc>
          <w:tcPr>
            <w:tcW w:w="2748" w:type="dxa"/>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Организация и проведение муниципальных конкурсов по ПДД (кубки, медали, призы, грамоты)</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57" w:right="-113" w:hanging="0"/>
              <w:jc w:val="left"/>
              <w:rPr>
                <w:sz w:val="20"/>
                <w:szCs w:val="20"/>
              </w:rPr>
            </w:pPr>
            <w:r>
              <w:rPr>
                <w:rFonts w:eastAsia="Times New Roman" w:cs="Times New Roman" w:ascii="Times New Roman" w:hAnsi="Times New Roman"/>
                <w:bCs w:val="false"/>
                <w:iCs w:val="false"/>
                <w:color w:val="000000"/>
                <w:sz w:val="20"/>
                <w:szCs w:val="20"/>
                <w:shd w:fill="auto" w:val="clear"/>
                <w:lang w:eastAsia="ru-RU"/>
              </w:rPr>
              <w:t>Управление образования администрации Прокопьевского муниципального округа, ОГИБДД отдела МВД России «Прокопьевский» (по согласованию)</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color w:val="FF0000"/>
                <w:sz w:val="20"/>
                <w:szCs w:val="20"/>
                <w:highlight w:val="none"/>
                <w:shd w:fill="auto" w:val="clear"/>
              </w:rPr>
            </w:pPr>
            <w:r>
              <w:rPr>
                <w:color w:val="FF0000"/>
                <w:sz w:val="20"/>
                <w:szCs w:val="20"/>
                <w:shd w:fill="auto" w:val="clear"/>
              </w:rPr>
            </w:r>
          </w:p>
        </w:tc>
      </w:tr>
      <w:tr>
        <w:trPr>
          <w:trHeight w:val="624"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4</w:t>
            </w:r>
          </w:p>
        </w:tc>
        <w:tc>
          <w:tcPr>
            <w:tcW w:w="2748" w:type="dxa"/>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Капитальный и текущий ремонт автогородков</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57" w:right="-113" w:hanging="0"/>
              <w:jc w:val="left"/>
              <w:rPr>
                <w:sz w:val="20"/>
                <w:szCs w:val="20"/>
              </w:rPr>
            </w:pPr>
            <w:r>
              <w:rPr>
                <w:rFonts w:eastAsia="Times New Roman" w:cs="Times New Roman" w:ascii="Times New Roman" w:hAnsi="Times New Roman"/>
                <w:bCs w:val="false"/>
                <w:iCs w:val="false"/>
                <w:color w:val="000000"/>
                <w:sz w:val="20"/>
                <w:szCs w:val="20"/>
                <w:shd w:fill="auto" w:val="clear"/>
                <w:lang w:eastAsia="ru-RU"/>
              </w:rPr>
              <w:t>Управление образования администрации Прокопьевского муниципального округа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Times New Roman" w:cs="Times New Roman"/>
                <w:b w:val="false"/>
                <w:bCs w:val="false"/>
                <w:i w:val="false"/>
                <w:i w:val="false"/>
                <w:iCs w:val="false"/>
                <w:color w:val="000000"/>
                <w:sz w:val="20"/>
                <w:szCs w:val="20"/>
                <w:highlight w:val="none"/>
                <w:shd w:fill="auto" w:val="clear"/>
                <w:lang w:eastAsia="ru-RU"/>
              </w:rPr>
            </w:pPr>
            <w:r>
              <w:rPr>
                <w:rFonts w:eastAsia="Times New Roman" w:cs="Times New Roman" w:ascii="Times New Roman" w:hAnsi="Times New Roman"/>
                <w:b w:val="false"/>
                <w:bCs w:val="false"/>
                <w:i w:val="false"/>
                <w:iCs w:val="false"/>
                <w:color w:val="000000"/>
                <w:sz w:val="20"/>
                <w:szCs w:val="20"/>
                <w:shd w:fill="auto" w:val="clear"/>
                <w:lang w:eastAsia="ru-RU"/>
              </w:rPr>
            </w:r>
          </w:p>
        </w:tc>
      </w:tr>
      <w:tr>
        <w:trPr>
          <w:trHeight w:val="1356" w:hRule="atLeast"/>
        </w:trPr>
        <w:tc>
          <w:tcPr>
            <w:tcW w:w="5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5</w:t>
            </w:r>
          </w:p>
        </w:tc>
        <w:tc>
          <w:tcPr>
            <w:tcW w:w="2748"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Приобретение продукции социальной рекламы по профилактике ДДТТ (баннеры, макеты, фликеры и др.)</w:t>
            </w:r>
          </w:p>
        </w:tc>
        <w:tc>
          <w:tcPr>
            <w:tcW w:w="1268"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tcBorders>
              <w:top w:val="single" w:sz="4" w:space="0" w:color="000000"/>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57" w:right="-113" w:hanging="0"/>
              <w:jc w:val="left"/>
              <w:rPr>
                <w:sz w:val="20"/>
                <w:szCs w:val="20"/>
              </w:rPr>
            </w:pPr>
            <w:r>
              <w:rPr>
                <w:rFonts w:eastAsia="Times New Roman" w:cs="Times New Roman" w:ascii="Times New Roman" w:hAnsi="Times New Roman"/>
                <w:bCs w:val="false"/>
                <w:iCs w:val="false"/>
                <w:color w:val="000000"/>
                <w:sz w:val="20"/>
                <w:szCs w:val="20"/>
                <w:shd w:fill="auto" w:val="clear"/>
                <w:lang w:eastAsia="ru-RU"/>
              </w:rPr>
              <w:t>Управление образования администрации Прокопьевского муниципального округа</w:t>
            </w:r>
          </w:p>
        </w:tc>
        <w:tc>
          <w:tcPr>
            <w:tcW w:w="1932" w:type="dxa"/>
            <w:tcBorders>
              <w:top w:val="single" w:sz="4" w:space="0" w:color="000000"/>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cs="Times New Roman" w:ascii="Times New Roman" w:hAnsi="Times New Roman"/>
                <w:bCs w:val="false"/>
                <w:iCs w:val="false"/>
                <w:color w:val="000000"/>
                <w:sz w:val="20"/>
                <w:szCs w:val="20"/>
                <w:shd w:fill="auto" w:val="clear"/>
              </w:rPr>
              <w:t>в 2025 году без денежных затрат ввиду отсутствия потребности</w:t>
            </w:r>
          </w:p>
        </w:tc>
      </w:tr>
      <w:tr>
        <w:trPr>
          <w:trHeight w:val="1548"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6</w:t>
            </w:r>
          </w:p>
        </w:tc>
        <w:tc>
          <w:tcPr>
            <w:tcW w:w="2748" w:type="dxa"/>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Приобретение и установка проблесковых маячков</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57" w:right="-113" w:hanging="0"/>
              <w:jc w:val="left"/>
              <w:rPr>
                <w:sz w:val="20"/>
                <w:szCs w:val="20"/>
              </w:rPr>
            </w:pPr>
            <w:r>
              <w:rPr>
                <w:rFonts w:eastAsia="Times New Roman" w:cs="Times New Roman" w:ascii="Times New Roman" w:hAnsi="Times New Roman"/>
                <w:bCs w:val="false"/>
                <w:iCs w:val="false"/>
                <w:color w:val="000000"/>
                <w:sz w:val="20"/>
                <w:szCs w:val="20"/>
                <w:shd w:fill="auto" w:val="clear"/>
                <w:lang w:eastAsia="ru-RU"/>
              </w:rPr>
              <w:t>Управление образования администрации Прокопьевского муниципального округа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eastAsia="Times New Roman" w:cs="Calibri"/>
                <w:bCs w:val="false"/>
                <w:iCs w:val="false"/>
                <w:color w:val="000000"/>
                <w:sz w:val="20"/>
                <w:szCs w:val="20"/>
                <w:shd w:fill="auto" w:val="clear"/>
                <w:lang w:eastAsia="ru-RU"/>
              </w:rPr>
              <w:t> </w:t>
            </w:r>
            <w:r>
              <w:rPr>
                <w:rFonts w:cs="Times New Roman" w:ascii="Times New Roman" w:hAnsi="Times New Roman"/>
                <w:bCs w:val="false"/>
                <w:iCs w:val="false"/>
                <w:color w:val="000000"/>
                <w:sz w:val="20"/>
                <w:szCs w:val="20"/>
                <w:shd w:fill="auto" w:val="clear"/>
              </w:rPr>
              <w:t>В 2025 году без денежных затрат ввиду отсутствия потребности на автобусы</w:t>
            </w:r>
          </w:p>
        </w:tc>
      </w:tr>
      <w:tr>
        <w:trPr>
          <w:trHeight w:val="1560"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7</w:t>
            </w:r>
          </w:p>
        </w:tc>
        <w:tc>
          <w:tcPr>
            <w:tcW w:w="2748" w:type="dxa"/>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Обслуживание системы ГЛОНАСС (движение школьных автобусов) и РНИС</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eastAsia="Times New Roman" w:cs="Times New Roman" w:ascii="Times New Roman" w:hAnsi="Times New Roman"/>
                <w:b w:val="false"/>
                <w:bCs w:val="false"/>
                <w:i w:val="false"/>
                <w:iCs w:val="false"/>
                <w:color w:val="000000"/>
                <w:sz w:val="20"/>
                <w:szCs w:val="20"/>
                <w:shd w:fill="auto" w:val="clear"/>
                <w:lang w:eastAsia="ru-RU"/>
              </w:rPr>
              <w:t>933,2</w:t>
            </w:r>
          </w:p>
        </w:tc>
        <w:tc>
          <w:tcPr>
            <w:tcW w:w="1369" w:type="dxa"/>
            <w:tcBorders>
              <w:bottom w:val="single" w:sz="4" w:space="0" w:color="000000"/>
              <w:right w:val="single" w:sz="4" w:space="0" w:color="000000"/>
            </w:tcBorders>
            <w:vAlign w:val="center"/>
          </w:tcPr>
          <w:p>
            <w:pPr>
              <w:pStyle w:val="Normal"/>
              <w:widowControl w:val="false"/>
              <w:spacing w:before="0" w:after="200"/>
              <w:jc w:val="center"/>
              <w:rPr>
                <w:highlight w:val="none"/>
                <w:shd w:fill="auto" w:val="clear"/>
              </w:rPr>
            </w:pPr>
            <w:r>
              <w:rPr>
                <w:rFonts w:eastAsia="Times New Roman" w:cs="Times New Roman" w:ascii="Times New Roman" w:hAnsi="Times New Roman"/>
                <w:b w:val="false"/>
                <w:bCs w:val="false"/>
                <w:i w:val="false"/>
                <w:iCs w:val="false"/>
                <w:color w:val="000000"/>
                <w:sz w:val="20"/>
                <w:szCs w:val="20"/>
                <w:shd w:fill="auto" w:val="clear"/>
                <w:lang w:eastAsia="ru-RU"/>
              </w:rPr>
              <w:t>928,1</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113" w:right="-113" w:hanging="0"/>
              <w:jc w:val="left"/>
              <w:rPr>
                <w:sz w:val="20"/>
                <w:szCs w:val="20"/>
              </w:rPr>
            </w:pPr>
            <w:r>
              <w:rPr>
                <w:rFonts w:eastAsia="Times New Roman" w:cs="Times New Roman" w:ascii="Times New Roman" w:hAnsi="Times New Roman"/>
                <w:bCs w:val="false"/>
                <w:iCs w:val="false"/>
                <w:color w:val="000000"/>
                <w:sz w:val="20"/>
                <w:szCs w:val="20"/>
                <w:shd w:fill="auto" w:val="clear"/>
                <w:lang w:eastAsia="ru-RU"/>
              </w:rPr>
              <w:t>Управление образования администрации Прокопьевского муниципального округа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Обслуживание  31 школьных автобуса</w:t>
            </w:r>
            <w:r>
              <w:rPr>
                <w:rFonts w:ascii="Times New Roman" w:hAnsi="Times New Roman"/>
                <w:bCs w:val="false"/>
                <w:iCs w:val="false"/>
                <w:color w:val="000000"/>
                <w:sz w:val="20"/>
                <w:szCs w:val="20"/>
                <w:shd w:fill="auto" w:val="clear"/>
                <w:lang w:eastAsia="ru-RU"/>
              </w:rPr>
              <w:t xml:space="preserve"> системы ГЛОНАСС, охвачено 100% транспорта данной системой.</w:t>
            </w:r>
          </w:p>
        </w:tc>
      </w:tr>
      <w:tr>
        <w:trPr>
          <w:trHeight w:val="3144"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8</w:t>
            </w:r>
          </w:p>
        </w:tc>
        <w:tc>
          <w:tcPr>
            <w:tcW w:w="2748" w:type="dxa"/>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Ежегодное комиссионное обследование состояния автомобильных дорог на маршрутах движения школьных автобусов на начало учебного года</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113" w:right="-113" w:hanging="0"/>
              <w:jc w:val="left"/>
              <w:rPr>
                <w:sz w:val="20"/>
                <w:szCs w:val="20"/>
              </w:rPr>
            </w:pPr>
            <w:r>
              <w:rPr>
                <w:rFonts w:eastAsia="Times New Roman" w:cs="Times New Roman" w:ascii="Times New Roman" w:hAnsi="Times New Roman"/>
                <w:bCs w:val="false"/>
                <w:iCs w:val="false"/>
                <w:color w:val="000000"/>
                <w:sz w:val="20"/>
                <w:szCs w:val="20"/>
                <w:shd w:fill="auto" w:val="clear"/>
                <w:lang w:eastAsia="ru-RU"/>
              </w:rPr>
              <w:t>МКУ «УДЖНП» Прокопьевского муниципального района, ОГИБДД отдела МВД России «Прокопьевский» (по согласованию)</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eastAsia="Times New Roman" w:cs="Calibri"/>
                <w:bCs w:val="false"/>
                <w:iCs w:val="false"/>
                <w:color w:val="000000"/>
                <w:sz w:val="20"/>
                <w:szCs w:val="20"/>
                <w:shd w:fill="auto" w:val="clear"/>
                <w:lang w:eastAsia="ru-RU"/>
              </w:rPr>
              <w:t> </w:t>
            </w:r>
            <w:r>
              <w:rPr>
                <w:rFonts w:ascii="Times New Roman" w:hAnsi="Times New Roman"/>
                <w:bCs w:val="false"/>
                <w:iCs w:val="false"/>
                <w:color w:val="000000"/>
                <w:sz w:val="20"/>
                <w:szCs w:val="20"/>
                <w:shd w:fill="auto" w:val="clear"/>
                <w:lang w:eastAsia="ru-RU"/>
              </w:rPr>
              <w:t>Перед началом учебного года проведено обследование состояния автомобильных дорог на маршрутах движения школьных автобусов комиссией в составе специалистов Управления образования, МКУ УДЖНП Прокопьевского муниципального района, инспектора ОГИБДД отдела МВД России «Прокопьевский»</w:t>
            </w:r>
          </w:p>
        </w:tc>
      </w:tr>
      <w:tr>
        <w:trPr>
          <w:trHeight w:val="312"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9</w:t>
            </w:r>
          </w:p>
        </w:tc>
        <w:tc>
          <w:tcPr>
            <w:tcW w:w="274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Мероприятия в области дорожного хозяйства</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Всего</w:t>
            </w:r>
          </w:p>
        </w:tc>
        <w:tc>
          <w:tcPr>
            <w:tcW w:w="1246" w:type="dxa"/>
            <w:tcBorders>
              <w:bottom w:val="single" w:sz="4" w:space="0" w:color="000000"/>
              <w:right w:val="single" w:sz="4" w:space="0" w:color="000000"/>
            </w:tcBorders>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161 892,4</w:t>
            </w:r>
          </w:p>
        </w:tc>
        <w:tc>
          <w:tcPr>
            <w:tcW w:w="1369" w:type="dxa"/>
            <w:tcBorders>
              <w:bottom w:val="single" w:sz="4" w:space="0" w:color="000000"/>
              <w:right w:val="single" w:sz="4" w:space="0" w:color="000000"/>
            </w:tcBorders>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161 891,7</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b w:val="false"/>
                <w:bCs w:val="false"/>
                <w:i w:val="false"/>
                <w:i w:val="false"/>
                <w:iCs w:val="false"/>
                <w:sz w:val="20"/>
                <w:szCs w:val="20"/>
                <w:highlight w:val="none"/>
                <w:shd w:fill="auto" w:val="clear"/>
              </w:rPr>
            </w:pPr>
            <w:r>
              <w:rPr>
                <w:b w:val="false"/>
                <w:bCs w:val="false"/>
                <w:i w:val="false"/>
                <w:iCs w:val="false"/>
                <w:sz w:val="20"/>
                <w:szCs w:val="20"/>
                <w:shd w:fill="auto" w:val="clear"/>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r>
      <w:tr>
        <w:trPr>
          <w:trHeight w:val="936"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left"/>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 местный бюджет</w:t>
            </w:r>
          </w:p>
        </w:tc>
        <w:tc>
          <w:tcPr>
            <w:tcW w:w="1246" w:type="dxa"/>
            <w:tcBorders>
              <w:bottom w:val="single" w:sz="4" w:space="0" w:color="000000"/>
              <w:right w:val="single" w:sz="4" w:space="0" w:color="000000"/>
            </w:tcBorders>
            <w:shd w:fill="FFFFFF" w:val="clear"/>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13 804,8</w:t>
            </w:r>
          </w:p>
        </w:tc>
        <w:tc>
          <w:tcPr>
            <w:tcW w:w="1369" w:type="dxa"/>
            <w:tcBorders>
              <w:bottom w:val="single" w:sz="4" w:space="0" w:color="000000"/>
              <w:right w:val="single" w:sz="4" w:space="0" w:color="000000"/>
            </w:tcBorders>
            <w:shd w:fill="FFFFFF" w:val="clear"/>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13 804,8</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«УДЖНП» Прокопьевского муниципального района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r>
      <w:tr>
        <w:trPr>
          <w:trHeight w:val="316"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46" w:type="dxa"/>
            <w:tcBorders>
              <w:bottom w:val="single" w:sz="4" w:space="0" w:color="000000"/>
              <w:right w:val="single" w:sz="4" w:space="0" w:color="000000"/>
            </w:tcBorders>
            <w:shd w:fill="F2DCDB" w:val="clear"/>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102049,6</w:t>
            </w:r>
          </w:p>
        </w:tc>
        <w:tc>
          <w:tcPr>
            <w:tcW w:w="1369" w:type="dxa"/>
            <w:tcBorders>
              <w:bottom w:val="single" w:sz="4" w:space="0" w:color="000000"/>
              <w:right w:val="single" w:sz="4" w:space="0" w:color="000000"/>
            </w:tcBorders>
            <w:shd w:fill="F2DCDB" w:val="clear"/>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102048,9</w:t>
            </w:r>
          </w:p>
        </w:tc>
        <w:tc>
          <w:tcPr>
            <w:tcW w:w="1350" w:type="dxa"/>
            <w:vMerge w:val="restart"/>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 xml:space="preserve"> </w:t>
            </w: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r>
      <w:tr>
        <w:trPr>
          <w:trHeight w:val="960"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областной бюджет</w:t>
            </w:r>
          </w:p>
        </w:tc>
        <w:tc>
          <w:tcPr>
            <w:tcW w:w="1246" w:type="dxa"/>
            <w:tcBorders>
              <w:bottom w:val="single" w:sz="4" w:space="0" w:color="000000"/>
              <w:right w:val="single" w:sz="4" w:space="0" w:color="000000"/>
            </w:tcBorders>
            <w:shd w:fill="F2DCDB" w:val="clear"/>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46 038,0</w:t>
            </w:r>
          </w:p>
        </w:tc>
        <w:tc>
          <w:tcPr>
            <w:tcW w:w="1369" w:type="dxa"/>
            <w:tcBorders>
              <w:bottom w:val="single" w:sz="4" w:space="0" w:color="000000"/>
              <w:right w:val="single" w:sz="4" w:space="0" w:color="000000"/>
            </w:tcBorders>
            <w:shd w:fill="F2DCDB" w:val="clear"/>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46 038,0</w:t>
            </w:r>
          </w:p>
        </w:tc>
        <w:tc>
          <w:tcPr>
            <w:tcW w:w="1350" w:type="dxa"/>
            <w:vMerge w:val="continue"/>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rFonts w:ascii="Calibri" w:hAnsi="Calibri" w:eastAsia="Times New Roman" w:cs="Calibri"/>
                <w:color w:val="000000"/>
                <w:sz w:val="20"/>
                <w:szCs w:val="20"/>
                <w:highlight w:val="none"/>
                <w:shd w:fill="auto" w:val="clear"/>
                <w:lang w:eastAsia="ru-RU"/>
              </w:rPr>
            </w:pPr>
            <w:r>
              <w:rPr>
                <w:rFonts w:eastAsia="Times New Roman" w:cs="Calibri"/>
                <w:color w:val="000000"/>
                <w:sz w:val="20"/>
                <w:szCs w:val="20"/>
                <w:shd w:fill="auto" w:val="clear"/>
                <w:lang w:eastAsia="ru-RU"/>
              </w:rPr>
            </w:r>
          </w:p>
        </w:tc>
      </w:tr>
      <w:tr>
        <w:trPr>
          <w:trHeight w:val="395"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 w:val="20"/>
                <w:szCs w:val="20"/>
                <w:shd w:fill="auto" w:val="clear"/>
                <w:lang w:eastAsia="ru-RU"/>
              </w:rPr>
              <w:t>9.1.</w:t>
            </w:r>
          </w:p>
        </w:tc>
        <w:tc>
          <w:tcPr>
            <w:tcW w:w="274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sz w:val="20"/>
                <w:szCs w:val="20"/>
                <w:highlight w:val="none"/>
                <w:shd w:fill="auto" w:val="clear"/>
              </w:rPr>
            </w:pPr>
            <w:r>
              <w:rPr>
                <w:rFonts w:eastAsia="Times New Roman" w:cs="Times New Roman" w:ascii="Times New Roman" w:hAnsi="Times New Roman"/>
                <w:bCs w:val="false"/>
                <w:iCs w:val="false"/>
                <w:color w:val="000000"/>
                <w:sz w:val="20"/>
                <w:szCs w:val="20"/>
                <w:shd w:fill="auto" w:val="clear"/>
                <w:lang w:eastAsia="ru-RU"/>
              </w:rPr>
              <w:t>Отсыпка дорог</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color w:val="000000"/>
                <w:sz w:val="20"/>
                <w:szCs w:val="20"/>
                <w:highlight w:val="none"/>
                <w:shd w:fill="auto" w:val="clear"/>
              </w:rPr>
            </w:pPr>
            <w:r>
              <w:rPr>
                <w:rFonts w:eastAsia="Times New Roman" w:cs="Times New Roman" w:ascii="Times New Roman" w:hAnsi="Times New Roman"/>
                <w:bCs w:val="false"/>
                <w:iCs w:val="false"/>
                <w:color w:val="000000"/>
                <w:sz w:val="20"/>
                <w:szCs w:val="20"/>
                <w:shd w:fill="auto" w:val="clear"/>
                <w:lang w:eastAsia="ru-RU"/>
              </w:rPr>
              <w:t>Всего</w:t>
            </w:r>
          </w:p>
        </w:tc>
        <w:tc>
          <w:tcPr>
            <w:tcW w:w="1246" w:type="dxa"/>
            <w:tcBorders>
              <w:bottom w:val="single" w:sz="4" w:space="0" w:color="000000"/>
              <w:right w:val="single" w:sz="4" w:space="0" w:color="000000"/>
            </w:tcBorders>
            <w:shd w:fill="FFFFFF" w:val="clear"/>
            <w:vAlign w:val="center"/>
          </w:tcPr>
          <w:p>
            <w:pPr>
              <w:pStyle w:val="Normal"/>
              <w:widowControl w:val="false"/>
              <w:spacing w:before="0" w:after="0"/>
              <w:jc w:val="center"/>
              <w:rPr/>
            </w:pPr>
            <w:r>
              <w:rPr>
                <w:rFonts w:eastAsia="Times New Roman" w:cs="Times New Roman" w:ascii="Times New Roman" w:hAnsi="Times New Roman"/>
                <w:color w:val="000000"/>
                <w:sz w:val="20"/>
                <w:szCs w:val="20"/>
                <w:shd w:fill="auto" w:val="clear"/>
                <w:lang w:eastAsia="ru-RU"/>
              </w:rPr>
              <w:t>2 395,2</w:t>
            </w:r>
          </w:p>
        </w:tc>
        <w:tc>
          <w:tcPr>
            <w:tcW w:w="1369" w:type="dxa"/>
            <w:tcBorders>
              <w:bottom w:val="single" w:sz="4" w:space="0" w:color="000000"/>
              <w:right w:val="single" w:sz="4" w:space="0" w:color="000000"/>
            </w:tcBorders>
            <w:shd w:fill="FFFFFF" w:val="clear"/>
            <w:vAlign w:val="center"/>
          </w:tcPr>
          <w:p>
            <w:pPr>
              <w:pStyle w:val="Normal"/>
              <w:widowControl w:val="false"/>
              <w:spacing w:before="0" w:after="0"/>
              <w:jc w:val="center"/>
              <w:rPr/>
            </w:pPr>
            <w:r>
              <w:rPr>
                <w:rFonts w:eastAsia="Times New Roman" w:cs="Times New Roman" w:ascii="Times New Roman" w:hAnsi="Times New Roman"/>
                <w:color w:val="000000"/>
                <w:sz w:val="20"/>
                <w:szCs w:val="20"/>
                <w:shd w:fill="auto" w:val="clear"/>
                <w:lang w:eastAsia="ru-RU"/>
              </w:rPr>
              <w:t>2 395,20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color w:val="000000"/>
                <w:sz w:val="20"/>
                <w:szCs w:val="20"/>
                <w:highlight w:val="none"/>
                <w:shd w:fill="auto" w:val="clear"/>
              </w:rPr>
            </w:pPr>
            <w:r>
              <w:rPr>
                <w:color w:val="000000"/>
                <w:sz w:val="20"/>
                <w:szCs w:val="20"/>
                <w:shd w:fill="auto" w:val="clear"/>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b w:val="false"/>
                <w:bCs w:val="false"/>
                <w:i w:val="false"/>
                <w:i w:val="false"/>
                <w:iCs w:val="false"/>
                <w:color w:val="000000"/>
                <w:sz w:val="20"/>
                <w:szCs w:val="20"/>
                <w:highlight w:val="none"/>
                <w:shd w:fill="auto" w:val="clear"/>
              </w:rPr>
            </w:pPr>
            <w:r>
              <w:rPr>
                <w:b w:val="false"/>
                <w:bCs w:val="false"/>
                <w:i w:val="false"/>
                <w:iCs w:val="false"/>
                <w:color w:val="000000"/>
                <w:sz w:val="20"/>
                <w:szCs w:val="20"/>
                <w:shd w:fill="auto" w:val="clear"/>
              </w:rPr>
            </w:r>
          </w:p>
        </w:tc>
      </w:tr>
      <w:tr>
        <w:trPr>
          <w:trHeight w:val="1440"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sz w:val="20"/>
                <w:szCs w:val="20"/>
                <w:highlight w:val="none"/>
                <w:shd w:fill="auto" w:val="clear"/>
              </w:rPr>
            </w:pPr>
            <w:r>
              <w:rPr>
                <w:sz w:val="20"/>
                <w:szCs w:val="20"/>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color w:val="000000"/>
                <w:sz w:val="20"/>
                <w:szCs w:val="20"/>
                <w:highlight w:val="none"/>
                <w:shd w:fill="auto" w:val="clear"/>
              </w:rPr>
            </w:pPr>
            <w:r>
              <w:rPr>
                <w:color w:val="000000"/>
                <w:sz w:val="20"/>
                <w:szCs w:val="20"/>
                <w:shd w:fill="auto" w:val="clear"/>
              </w:rPr>
            </w:r>
          </w:p>
        </w:tc>
        <w:tc>
          <w:tcPr>
            <w:tcW w:w="126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sz w:val="20"/>
                <w:szCs w:val="20"/>
                <w:highlight w:val="none"/>
                <w:shd w:fill="auto" w:val="clear"/>
              </w:rPr>
            </w:pPr>
            <w:r>
              <w:rPr>
                <w:rFonts w:eastAsia="Times New Roman" w:cs="Times New Roman" w:ascii="Times New Roman" w:hAnsi="Times New Roman"/>
                <w:bCs w:val="false"/>
                <w:iCs w:val="false"/>
                <w:color w:val="000000"/>
                <w:sz w:val="20"/>
                <w:szCs w:val="20"/>
                <w:shd w:fill="auto" w:val="clear"/>
                <w:lang w:eastAsia="ru-RU"/>
              </w:rPr>
              <w:t>в том числе</w:t>
            </w:r>
          </w:p>
          <w:p>
            <w:pPr>
              <w:pStyle w:val="Normal"/>
              <w:widowControl w:val="false"/>
              <w:spacing w:lineRule="auto" w:line="240" w:before="0" w:after="0"/>
              <w:jc w:val="center"/>
              <w:rPr>
                <w:color w:val="000000"/>
                <w:sz w:val="20"/>
                <w:szCs w:val="20"/>
                <w:highlight w:val="none"/>
                <w:shd w:fill="auto" w:val="clear"/>
              </w:rPr>
            </w:pPr>
            <w:r>
              <w:rPr>
                <w:rFonts w:eastAsia="Times New Roman" w:cs="Times New Roman" w:ascii="Times New Roman" w:hAnsi="Times New Roman"/>
                <w:bCs w:val="false"/>
                <w:iCs w:val="false"/>
                <w:color w:val="000000"/>
                <w:sz w:val="20"/>
                <w:szCs w:val="20"/>
                <w:shd w:fill="auto" w:val="clear"/>
                <w:lang w:eastAsia="ru-RU"/>
              </w:rPr>
              <w:t>местный бюджет</w:t>
            </w:r>
          </w:p>
        </w:tc>
        <w:tc>
          <w:tcPr>
            <w:tcW w:w="1246" w:type="dxa"/>
            <w:tcBorders>
              <w:bottom w:val="single" w:sz="4" w:space="0" w:color="000000"/>
              <w:right w:val="single" w:sz="4" w:space="0" w:color="000000"/>
            </w:tcBorders>
            <w:shd w:fill="FFFFFF" w:val="clear"/>
            <w:vAlign w:val="center"/>
          </w:tcPr>
          <w:p>
            <w:pPr>
              <w:pStyle w:val="Normal"/>
              <w:widowControl w:val="false"/>
              <w:spacing w:before="0" w:after="0"/>
              <w:jc w:val="center"/>
              <w:rPr/>
            </w:pPr>
            <w:r>
              <w:rPr>
                <w:rFonts w:eastAsia="Times New Roman" w:cs="Times New Roman" w:ascii="Times New Roman" w:hAnsi="Times New Roman"/>
                <w:color w:val="000000"/>
                <w:sz w:val="20"/>
                <w:szCs w:val="20"/>
                <w:shd w:fill="auto" w:val="clear"/>
                <w:lang w:eastAsia="ru-RU"/>
              </w:rPr>
              <w:t>1 795,2</w:t>
            </w:r>
          </w:p>
        </w:tc>
        <w:tc>
          <w:tcPr>
            <w:tcW w:w="1369" w:type="dxa"/>
            <w:tcBorders>
              <w:bottom w:val="single" w:sz="4" w:space="0" w:color="000000"/>
              <w:right w:val="single" w:sz="4" w:space="0" w:color="000000"/>
            </w:tcBorders>
            <w:shd w:fill="EEECE1" w:val="clear"/>
            <w:vAlign w:val="center"/>
          </w:tcPr>
          <w:p>
            <w:pPr>
              <w:pStyle w:val="Normal"/>
              <w:widowControl w:val="false"/>
              <w:spacing w:before="0" w:after="0"/>
              <w:jc w:val="center"/>
              <w:rPr/>
            </w:pPr>
            <w:r>
              <w:rPr>
                <w:rFonts w:eastAsia="Times New Roman" w:cs="Times New Roman" w:ascii="Times New Roman" w:hAnsi="Times New Roman"/>
                <w:color w:val="000000"/>
                <w:sz w:val="20"/>
                <w:szCs w:val="20"/>
                <w:shd w:fill="auto" w:val="clear"/>
                <w:lang w:eastAsia="ru-RU"/>
              </w:rPr>
              <w:t>1 795,2</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«УДЖНП» Прокопьевского муниципального района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ind w:hanging="0"/>
              <w:jc w:val="both"/>
              <w:rPr>
                <w:sz w:val="20"/>
                <w:szCs w:val="20"/>
              </w:rPr>
            </w:pPr>
            <w:r>
              <w:rPr>
                <w:rFonts w:eastAsia="Times New Roman" w:cs="Times New Roman" w:ascii="Tinos" w:hAnsi="Tinos"/>
                <w:color w:val="000000"/>
                <w:sz w:val="20"/>
                <w:szCs w:val="20"/>
                <w:shd w:fill="auto" w:val="clear"/>
                <w:lang w:eastAsia="ru-RU"/>
              </w:rPr>
              <w:t>Отсыпка дорог (Приобретение технической соли (галит) противогололедный реагент – 80000,00 кг., галит концентрат минеральный в МКР- 40 тонн. Приобретение щебня светло серого цвета фракции 0-10 в объеме 680 куб. м.,);</w:t>
            </w:r>
          </w:p>
        </w:tc>
      </w:tr>
      <w:tr>
        <w:trPr>
          <w:trHeight w:val="467"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sz w:val="20"/>
                <w:szCs w:val="20"/>
                <w:highlight w:val="none"/>
                <w:shd w:fill="auto" w:val="clear"/>
              </w:rPr>
            </w:pPr>
            <w:r>
              <w:rPr>
                <w:sz w:val="20"/>
                <w:szCs w:val="20"/>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color w:val="000000"/>
                <w:sz w:val="20"/>
                <w:szCs w:val="20"/>
                <w:highlight w:val="none"/>
                <w:shd w:fill="auto" w:val="clear"/>
              </w:rPr>
            </w:pPr>
            <w:r>
              <w:rPr>
                <w:color w:val="000000"/>
                <w:sz w:val="20"/>
                <w:szCs w:val="20"/>
                <w:shd w:fill="auto" w:val="clear"/>
              </w:rPr>
            </w:r>
          </w:p>
        </w:tc>
        <w:tc>
          <w:tcPr>
            <w:tcW w:w="126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color w:val="000000"/>
                <w:sz w:val="20"/>
                <w:szCs w:val="20"/>
                <w:highlight w:val="none"/>
                <w:shd w:fill="auto" w:val="clear"/>
              </w:rPr>
            </w:pPr>
            <w:r>
              <w:rPr>
                <w:color w:val="000000"/>
                <w:sz w:val="20"/>
                <w:szCs w:val="20"/>
                <w:shd w:fill="auto" w:val="clear"/>
              </w:rPr>
            </w:r>
          </w:p>
        </w:tc>
        <w:tc>
          <w:tcPr>
            <w:tcW w:w="1246" w:type="dxa"/>
            <w:tcBorders>
              <w:bottom w:val="single" w:sz="4" w:space="0" w:color="000000"/>
              <w:right w:val="single" w:sz="4" w:space="0" w:color="000000"/>
            </w:tcBorders>
            <w:shd w:fill="F2DCDB" w:val="clear"/>
            <w:vAlign w:val="center"/>
          </w:tcPr>
          <w:p>
            <w:pPr>
              <w:pStyle w:val="Normal"/>
              <w:widowControl w:val="false"/>
              <w:spacing w:lineRule="auto" w:line="240" w:before="0" w:after="0"/>
              <w:jc w:val="center"/>
              <w:rPr>
                <w:color w:val="000000"/>
                <w:sz w:val="20"/>
                <w:szCs w:val="20"/>
                <w:highlight w:val="none"/>
                <w:shd w:fill="auto" w:val="clear"/>
              </w:rPr>
            </w:pPr>
            <w:r>
              <w:rPr>
                <w:rFonts w:eastAsia="Times New Roman" w:cs="Times New Roman" w:ascii="Times New Roman" w:hAnsi="Times New Roman"/>
                <w:b w:val="false"/>
                <w:bCs w:val="false"/>
                <w:i w:val="false"/>
                <w:iCs w:val="false"/>
                <w:color w:val="000000"/>
                <w:sz w:val="20"/>
                <w:szCs w:val="20"/>
                <w:shd w:fill="auto" w:val="clear"/>
                <w:lang w:eastAsia="ru-RU"/>
              </w:rPr>
              <w:t>600,0</w:t>
            </w:r>
          </w:p>
        </w:tc>
        <w:tc>
          <w:tcPr>
            <w:tcW w:w="1369" w:type="dxa"/>
            <w:tcBorders>
              <w:bottom w:val="single" w:sz="4" w:space="0" w:color="000000"/>
              <w:right w:val="single" w:sz="4" w:space="0" w:color="000000"/>
            </w:tcBorders>
            <w:shd w:fill="EEECE1" w:val="clear"/>
            <w:vAlign w:val="center"/>
          </w:tcPr>
          <w:p>
            <w:pPr>
              <w:pStyle w:val="Normal"/>
              <w:widowControl w:val="false"/>
              <w:spacing w:lineRule="auto" w:line="240" w:before="0" w:after="0"/>
              <w:jc w:val="center"/>
              <w:rPr>
                <w:color w:val="000000"/>
                <w:sz w:val="20"/>
                <w:szCs w:val="20"/>
                <w:highlight w:val="none"/>
                <w:shd w:fill="auto" w:val="clear"/>
              </w:rPr>
            </w:pPr>
            <w:r>
              <w:rPr>
                <w:rFonts w:eastAsia="Times New Roman" w:cs="Times New Roman" w:ascii="Times New Roman" w:hAnsi="Times New Roman"/>
                <w:b w:val="false"/>
                <w:bCs w:val="false"/>
                <w:i w:val="false"/>
                <w:iCs w:val="false"/>
                <w:color w:val="000000"/>
                <w:sz w:val="20"/>
                <w:szCs w:val="20"/>
                <w:shd w:fill="auto" w:val="clear"/>
                <w:lang w:eastAsia="ru-RU"/>
              </w:rPr>
              <w:t>600,0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rFonts w:ascii="Times New Roman" w:hAnsi="Times New Roman" w:eastAsia="Times New Roman" w:cs="Times New Roman"/>
                <w:color w:val="000000"/>
                <w:sz w:val="20"/>
                <w:szCs w:val="20"/>
                <w:highlight w:val="none"/>
                <w:shd w:fill="auto" w:val="clear"/>
                <w:lang w:eastAsia="ru-RU"/>
              </w:rPr>
            </w:pPr>
            <w:r>
              <w:rPr>
                <w:rFonts w:eastAsia="Times New Roman" w:cs="Times New Roman" w:ascii="Times New Roman" w:hAnsi="Times New Roman"/>
                <w:color w:val="000000"/>
                <w:sz w:val="20"/>
                <w:szCs w:val="20"/>
                <w:shd w:fill="auto" w:val="clear"/>
                <w:lang w:eastAsia="ru-RU"/>
              </w:rPr>
            </w:r>
          </w:p>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ascii="Times New Roman" w:hAnsi="Times New Roman"/>
                <w:bCs/>
                <w:color w:val="000000"/>
                <w:sz w:val="20"/>
                <w:szCs w:val="20"/>
                <w:shd w:fill="auto" w:val="clear"/>
              </w:rPr>
              <w:t>Поставка противогололедных материалов  (песок, соль, песко-соленная смеся и тд. 173 т.)</w:t>
            </w:r>
          </w:p>
        </w:tc>
      </w:tr>
      <w:tr>
        <w:trPr>
          <w:trHeight w:val="312"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9.2.</w:t>
            </w:r>
          </w:p>
        </w:tc>
        <w:tc>
          <w:tcPr>
            <w:tcW w:w="274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Чистка дорог,  сезонное содержание дорог</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Всего</w:t>
            </w:r>
          </w:p>
        </w:tc>
        <w:tc>
          <w:tcPr>
            <w:tcW w:w="1246" w:type="dxa"/>
            <w:tcBorders>
              <w:bottom w:val="single" w:sz="4" w:space="0" w:color="000000"/>
              <w:right w:val="single" w:sz="4" w:space="0" w:color="000000"/>
            </w:tcBorders>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75 871,5</w:t>
            </w:r>
          </w:p>
        </w:tc>
        <w:tc>
          <w:tcPr>
            <w:tcW w:w="1369" w:type="dxa"/>
            <w:tcBorders>
              <w:bottom w:val="single" w:sz="4" w:space="0" w:color="000000"/>
              <w:right w:val="single" w:sz="4" w:space="0" w:color="000000"/>
            </w:tcBorders>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75 870,8</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b w:val="false"/>
                <w:bCs w:val="false"/>
                <w:i w:val="false"/>
                <w:i w:val="false"/>
                <w:iCs w:val="false"/>
                <w:sz w:val="20"/>
                <w:szCs w:val="20"/>
                <w:highlight w:val="none"/>
                <w:shd w:fill="auto" w:val="clear"/>
              </w:rPr>
            </w:pPr>
            <w:r>
              <w:rPr>
                <w:b w:val="false"/>
                <w:bCs w:val="false"/>
                <w:i w:val="false"/>
                <w:iCs w:val="false"/>
                <w:sz w:val="20"/>
                <w:szCs w:val="20"/>
                <w:shd w:fill="auto" w:val="clear"/>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b w:val="false"/>
                <w:bCs w:val="false"/>
                <w:i w:val="false"/>
                <w:i w:val="false"/>
                <w:iCs w:val="false"/>
                <w:sz w:val="20"/>
                <w:szCs w:val="20"/>
                <w:highlight w:val="none"/>
                <w:shd w:fill="auto" w:val="clear"/>
              </w:rPr>
            </w:pPr>
            <w:r>
              <w:rPr>
                <w:b w:val="false"/>
                <w:bCs w:val="false"/>
                <w:i w:val="false"/>
                <w:iCs w:val="false"/>
                <w:sz w:val="20"/>
                <w:szCs w:val="20"/>
                <w:shd w:fill="auto" w:val="clear"/>
              </w:rPr>
            </w:r>
          </w:p>
        </w:tc>
      </w:tr>
      <w:tr>
        <w:trPr>
          <w:trHeight w:val="936"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shd w:fill="FFFFFF" w:val="clear"/>
            <w:vAlign w:val="center"/>
          </w:tcPr>
          <w:p>
            <w:pPr>
              <w:pStyle w:val="Normal"/>
              <w:widowControl w:val="false"/>
              <w:spacing w:before="0" w:after="0"/>
              <w:jc w:val="center"/>
              <w:rPr/>
            </w:pPr>
            <w:r>
              <w:rPr>
                <w:rFonts w:eastAsia="Times New Roman" w:cs="Times New Roman" w:ascii="Times New Roman" w:hAnsi="Times New Roman"/>
                <w:color w:val="000000" w:themeColor="dark1"/>
                <w:sz w:val="20"/>
                <w:shd w:fill="auto" w:val="clear"/>
                <w:lang w:eastAsia="ru-RU"/>
              </w:rPr>
              <w:t>12 009,6</w:t>
            </w:r>
          </w:p>
        </w:tc>
        <w:tc>
          <w:tcPr>
            <w:tcW w:w="1369" w:type="dxa"/>
            <w:tcBorders>
              <w:bottom w:val="single" w:sz="4" w:space="0" w:color="000000"/>
              <w:right w:val="single" w:sz="4" w:space="0" w:color="000000"/>
            </w:tcBorders>
            <w:shd w:fill="FFFFFF" w:val="clear"/>
            <w:vAlign w:val="center"/>
          </w:tcPr>
          <w:p>
            <w:pPr>
              <w:pStyle w:val="Normal"/>
              <w:widowControl w:val="false"/>
              <w:spacing w:before="0" w:after="0"/>
              <w:jc w:val="center"/>
              <w:rPr/>
            </w:pPr>
            <w:r>
              <w:rPr>
                <w:rFonts w:eastAsia="Times New Roman" w:cs="Times New Roman" w:ascii="Times New Roman" w:hAnsi="Times New Roman"/>
                <w:color w:val="000000" w:themeColor="dark1"/>
                <w:sz w:val="20"/>
                <w:shd w:fill="auto" w:val="clear"/>
                <w:lang w:eastAsia="ru-RU"/>
              </w:rPr>
              <w:t>12 009,6</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«УДЖНП» Прокопьевского муниципального района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ГСМ (Трудармейский участок)</w:t>
            </w:r>
          </w:p>
        </w:tc>
      </w:tr>
      <w:tr>
        <w:trPr>
          <w:trHeight w:val="611"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46" w:type="dxa"/>
            <w:tcBorders>
              <w:bottom w:val="single" w:sz="4" w:space="0" w:color="000000"/>
              <w:right w:val="single" w:sz="4" w:space="0" w:color="000000"/>
            </w:tcBorders>
            <w:shd w:fill="F2DCDB" w:val="clear"/>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63 861,9</w:t>
            </w:r>
          </w:p>
        </w:tc>
        <w:tc>
          <w:tcPr>
            <w:tcW w:w="1369" w:type="dxa"/>
            <w:tcBorders>
              <w:bottom w:val="single" w:sz="4" w:space="0" w:color="000000"/>
              <w:right w:val="single" w:sz="4" w:space="0" w:color="000000"/>
            </w:tcBorders>
            <w:shd w:fill="F2DCDB" w:val="clear"/>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63 861,2</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Выполнение работ по содержанию и отчистки дорог от снега ПМО, приобретение 3  остановочных павильона, разработка проектов организации дорожного движения</w:t>
            </w:r>
          </w:p>
        </w:tc>
      </w:tr>
      <w:tr>
        <w:trPr>
          <w:trHeight w:val="312"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9.3.</w:t>
            </w:r>
          </w:p>
        </w:tc>
        <w:tc>
          <w:tcPr>
            <w:tcW w:w="274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Выполнение дорожных работ, направленных на повышение безопасности дорожного движения (капитальный и текущий ремонт дорог, строительство тротуаров в соответствии с требованиями безопасности дорожного движения).</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Всего</w:t>
            </w:r>
          </w:p>
        </w:tc>
        <w:tc>
          <w:tcPr>
            <w:tcW w:w="1246" w:type="dxa"/>
            <w:tcBorders>
              <w:bottom w:val="single" w:sz="4" w:space="0" w:color="000000"/>
              <w:right w:val="single" w:sz="4" w:space="0" w:color="000000"/>
            </w:tcBorders>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25 546,5</w:t>
            </w:r>
          </w:p>
        </w:tc>
        <w:tc>
          <w:tcPr>
            <w:tcW w:w="1369" w:type="dxa"/>
            <w:tcBorders>
              <w:bottom w:val="single" w:sz="4" w:space="0" w:color="000000"/>
              <w:right w:val="single" w:sz="4" w:space="0" w:color="000000"/>
            </w:tcBorders>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25546,5</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color w:val="000000"/>
                <w:sz w:val="20"/>
                <w:szCs w:val="20"/>
                <w:highlight w:val="none"/>
                <w:shd w:fill="auto" w:val="clear"/>
              </w:rPr>
            </w:pPr>
            <w:r>
              <w:rPr>
                <w:color w:val="000000"/>
                <w:sz w:val="20"/>
                <w:szCs w:val="20"/>
                <w:shd w:fill="auto" w:val="clear"/>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b w:val="false"/>
                <w:bCs w:val="false"/>
                <w:i w:val="false"/>
                <w:i w:val="false"/>
                <w:iCs w:val="false"/>
                <w:color w:val="000000"/>
                <w:sz w:val="20"/>
                <w:szCs w:val="20"/>
                <w:highlight w:val="none"/>
                <w:shd w:fill="auto" w:val="clear"/>
              </w:rPr>
            </w:pPr>
            <w:r>
              <w:rPr>
                <w:b w:val="false"/>
                <w:bCs w:val="false"/>
                <w:i w:val="false"/>
                <w:iCs w:val="false"/>
                <w:color w:val="000000"/>
                <w:sz w:val="20"/>
                <w:szCs w:val="20"/>
                <w:shd w:fill="auto" w:val="clear"/>
              </w:rPr>
            </w:r>
          </w:p>
        </w:tc>
      </w:tr>
      <w:tr>
        <w:trPr>
          <w:trHeight w:val="936"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color w:val="000000"/>
                <w:highlight w:val="none"/>
                <w:shd w:fill="auto" w:val="clear"/>
              </w:rPr>
            </w:pPr>
            <w:r>
              <w:rPr>
                <w:color w:val="000000"/>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126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 местный бюджет</w:t>
            </w:r>
          </w:p>
        </w:tc>
        <w:tc>
          <w:tcPr>
            <w:tcW w:w="1246" w:type="dxa"/>
            <w:tcBorders>
              <w:bottom w:val="single" w:sz="4" w:space="0" w:color="000000"/>
              <w:right w:val="single" w:sz="4" w:space="0" w:color="000000"/>
            </w:tcBorders>
            <w:shd w:fill="FFFFFF" w:val="clear"/>
            <w:vAlign w:val="center"/>
          </w:tcPr>
          <w:p>
            <w:pPr>
              <w:pStyle w:val="Normal"/>
              <w:widowControl w:val="false"/>
              <w:spacing w:lineRule="auto" w:line="240" w:before="0" w:after="0"/>
              <w:jc w:val="center"/>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0,00</w:t>
            </w:r>
          </w:p>
        </w:tc>
        <w:tc>
          <w:tcPr>
            <w:tcW w:w="1369" w:type="dxa"/>
            <w:tcBorders>
              <w:bottom w:val="single" w:sz="4" w:space="0" w:color="000000"/>
              <w:right w:val="single" w:sz="4" w:space="0" w:color="000000"/>
            </w:tcBorders>
            <w:shd w:fill="FFFFFF" w:val="clear"/>
            <w:vAlign w:val="center"/>
          </w:tcPr>
          <w:p>
            <w:pPr>
              <w:pStyle w:val="Normal"/>
              <w:widowControl w:val="false"/>
              <w:spacing w:lineRule="auto" w:line="240" w:before="0" w:after="0"/>
              <w:jc w:val="center"/>
              <w:rPr>
                <w:color w:val="000000"/>
                <w:highlight w:val="none"/>
                <w:shd w:fill="auto" w:val="clear"/>
              </w:rPr>
            </w:pPr>
            <w:r>
              <w:rPr>
                <w:rFonts w:eastAsia="Times New Roman" w:cs="Times New Roman" w:ascii="Times New Roman" w:hAnsi="Times New Roman"/>
                <w:bCs w:val="false"/>
                <w:iCs w:val="false"/>
                <w:color w:val="000000"/>
                <w:szCs w:val="24"/>
                <w:shd w:fill="auto" w:val="clear"/>
                <w:lang w:eastAsia="ru-RU"/>
              </w:rPr>
              <w:t>0,00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«УДЖНП» Прокопьевского муниципального района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b w:val="false"/>
                <w:bCs w:val="false"/>
                <w:i w:val="false"/>
                <w:i w:val="false"/>
                <w:iCs w:val="false"/>
                <w:color w:val="000000"/>
                <w:sz w:val="20"/>
                <w:szCs w:val="20"/>
                <w:highlight w:val="none"/>
                <w:shd w:fill="auto" w:val="clear"/>
              </w:rPr>
            </w:pPr>
            <w:r>
              <w:rPr>
                <w:b w:val="false"/>
                <w:bCs w:val="false"/>
                <w:i w:val="false"/>
                <w:iCs w:val="false"/>
                <w:color w:val="000000"/>
                <w:sz w:val="20"/>
                <w:szCs w:val="20"/>
                <w:shd w:fill="auto" w:val="clear"/>
              </w:rPr>
            </w:r>
          </w:p>
        </w:tc>
      </w:tr>
      <w:tr>
        <w:trPr>
          <w:trHeight w:val="1332"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color w:val="000000"/>
                <w:highlight w:val="none"/>
                <w:shd w:fill="auto" w:val="clear"/>
              </w:rPr>
            </w:pPr>
            <w:r>
              <w:rPr>
                <w:color w:val="000000"/>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126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color w:val="000000"/>
                <w:highlight w:val="none"/>
                <w:shd w:fill="auto" w:val="clear"/>
              </w:rPr>
            </w:pPr>
            <w:r>
              <w:rPr>
                <w:color w:val="000000"/>
                <w:shd w:fill="auto" w:val="clear"/>
              </w:rPr>
            </w:r>
          </w:p>
        </w:tc>
        <w:tc>
          <w:tcPr>
            <w:tcW w:w="1246" w:type="dxa"/>
            <w:tcBorders>
              <w:bottom w:val="single" w:sz="4" w:space="0" w:color="000000"/>
              <w:right w:val="single" w:sz="4" w:space="0" w:color="000000"/>
            </w:tcBorders>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25546,5</w:t>
            </w:r>
          </w:p>
        </w:tc>
        <w:tc>
          <w:tcPr>
            <w:tcW w:w="1369" w:type="dxa"/>
            <w:tcBorders>
              <w:bottom w:val="single" w:sz="4" w:space="0" w:color="000000"/>
              <w:right w:val="single" w:sz="4" w:space="0" w:color="000000"/>
            </w:tcBorders>
            <w:vAlign w:val="center"/>
          </w:tcPr>
          <w:p>
            <w:pPr>
              <w:pStyle w:val="Normal"/>
              <w:widowControl w:val="false"/>
              <w:spacing w:before="0" w:after="0"/>
              <w:jc w:val="center"/>
              <w:rPr/>
            </w:pPr>
            <w:r>
              <w:rPr>
                <w:rFonts w:eastAsia="Times New Roman" w:cs="Times New Roman" w:ascii="Times New Roman" w:hAnsi="Times New Roman"/>
                <w:color w:val="000000"/>
                <w:sz w:val="20"/>
                <w:shd w:fill="auto" w:val="clear"/>
                <w:lang w:eastAsia="ru-RU"/>
              </w:rPr>
              <w:t>25546,5</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tcBorders>
              <w:bottom w:val="single" w:sz="4" w:space="0" w:color="000000"/>
              <w:right w:val="single" w:sz="4" w:space="0" w:color="000000"/>
            </w:tcBorders>
            <w:vAlign w:val="center"/>
          </w:tcPr>
          <w:p>
            <w:pPr>
              <w:pStyle w:val="Normal"/>
              <w:widowControl w:val="false"/>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Текущий ремонт асфальтобетонного покрытия дорог и ямочный ремонт дорог Прокопьевского муниципального округа</w:t>
            </w:r>
          </w:p>
        </w:tc>
      </w:tr>
      <w:tr>
        <w:trPr>
          <w:trHeight w:val="370"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rPr/>
            </w:pPr>
            <w:r>
              <w:rPr>
                <w:rFonts w:eastAsia="Times New Roman" w:cs="Times New Roman" w:ascii="Times New Roman" w:hAnsi="Times New Roman"/>
                <w:bCs w:val="false"/>
                <w:iCs w:val="false"/>
                <w:color w:val="000000"/>
                <w:szCs w:val="24"/>
                <w:shd w:fill="auto" w:val="clear"/>
                <w:lang w:eastAsia="ru-RU"/>
              </w:rPr>
              <w:t xml:space="preserve">   </w:t>
            </w:r>
            <w:r>
              <w:rPr>
                <w:rFonts w:eastAsia="Times New Roman" w:cs="Times New Roman" w:ascii="Times New Roman" w:hAnsi="Times New Roman"/>
                <w:bCs w:val="false"/>
                <w:iCs w:val="false"/>
                <w:color w:val="000000"/>
                <w:szCs w:val="24"/>
                <w:shd w:fill="auto" w:val="clear"/>
                <w:lang w:eastAsia="ru-RU"/>
              </w:rPr>
              <w:t>9.4</w:t>
            </w:r>
          </w:p>
        </w:tc>
        <w:tc>
          <w:tcPr>
            <w:tcW w:w="274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ascii="Times New Roman" w:hAnsi="Times New Roman"/>
                <w:bCs w:val="false"/>
                <w:iCs w:val="false"/>
                <w:color w:val="000000"/>
                <w:sz w:val="24"/>
                <w:szCs w:val="24"/>
                <w:shd w:fill="auto" w:val="clear"/>
                <w:lang w:eastAsia="ru-RU"/>
              </w:rPr>
              <w:t>Финансирование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w:t>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Всего</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0,00</w:t>
            </w:r>
          </w:p>
        </w:tc>
        <w:tc>
          <w:tcPr>
            <w:tcW w:w="1350" w:type="dxa"/>
            <w:vMerge w:val="restart"/>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vMerge w:val="restart"/>
            <w:tcBorders>
              <w:bottom w:val="single" w:sz="4" w:space="0" w:color="000000"/>
              <w:right w:val="single" w:sz="4" w:space="0" w:color="000000"/>
            </w:tcBorders>
            <w:vAlign w:val="center"/>
          </w:tcPr>
          <w:p>
            <w:pPr>
              <w:pStyle w:val="Normal"/>
              <w:widowControl w:val="false"/>
              <w:spacing w:lineRule="auto" w:line="240" w:before="0" w:after="0"/>
              <w:rPr>
                <w:sz w:val="20"/>
                <w:szCs w:val="20"/>
              </w:rPr>
            </w:pPr>
            <w:r>
              <w:rPr>
                <w:rFonts w:ascii="Tinos" w:hAnsi="Tinos"/>
                <w:bCs w:val="false"/>
                <w:iCs w:val="false"/>
                <w:sz w:val="20"/>
                <w:szCs w:val="20"/>
                <w:shd w:fill="auto" w:val="clear"/>
              </w:rPr>
              <w:t>Финансирование по данному мероприятию не было</w:t>
            </w:r>
          </w:p>
        </w:tc>
      </w:tr>
      <w:tr>
        <w:trPr>
          <w:trHeight w:val="1080" w:hRule="atLeast"/>
        </w:trPr>
        <w:tc>
          <w:tcPr>
            <w:tcW w:w="509" w:type="dxa"/>
            <w:vMerge w:val="continue"/>
            <w:tcBorders>
              <w:left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0,00</w:t>
            </w:r>
          </w:p>
          <w:p>
            <w:pPr>
              <w:pStyle w:val="Normal"/>
              <w:widowControl w:val="false"/>
              <w:spacing w:lineRule="auto" w:line="240" w:before="0" w:after="0"/>
              <w:jc w:val="center"/>
              <w:rPr>
                <w:rFonts w:ascii="Times New Roman" w:hAnsi="Times New Roman"/>
                <w:color w:val="000000"/>
                <w:highlight w:val="none"/>
                <w:shd w:fill="auto" w:val="clear"/>
                <w:lang w:eastAsia="ru-RU"/>
              </w:rPr>
            </w:pPr>
            <w:r>
              <w:rPr>
                <w:rFonts w:ascii="Times New Roman" w:hAnsi="Times New Roman"/>
                <w:color w:val="000000"/>
                <w:shd w:fill="auto" w:val="clear"/>
                <w:lang w:eastAsia="ru-RU"/>
              </w:rPr>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0,00</w:t>
            </w:r>
          </w:p>
          <w:p>
            <w:pPr>
              <w:pStyle w:val="Normal"/>
              <w:widowControl w:val="false"/>
              <w:spacing w:lineRule="auto" w:line="240" w:before="0" w:after="0"/>
              <w:jc w:val="center"/>
              <w:rPr>
                <w:rFonts w:ascii="Times New Roman" w:hAnsi="Times New Roman"/>
                <w:color w:val="000000"/>
                <w:highlight w:val="none"/>
                <w:shd w:fill="auto" w:val="clear"/>
                <w:lang w:eastAsia="ru-RU"/>
              </w:rPr>
            </w:pPr>
            <w:r>
              <w:rPr>
                <w:rFonts w:ascii="Times New Roman" w:hAnsi="Times New Roman"/>
                <w:color w:val="000000"/>
                <w:shd w:fill="auto" w:val="clear"/>
                <w:lang w:eastAsia="ru-RU"/>
              </w:rPr>
            </w:r>
          </w:p>
        </w:tc>
        <w:tc>
          <w:tcPr>
            <w:tcW w:w="1350" w:type="dxa"/>
            <w:vMerge w:val="continue"/>
            <w:tcBorders>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right w:val="single" w:sz="4" w:space="0" w:color="000000"/>
            </w:tcBorders>
            <w:vAlign w:val="center"/>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900"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областной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0,00</w:t>
            </w:r>
          </w:p>
        </w:tc>
        <w:tc>
          <w:tcPr>
            <w:tcW w:w="1350" w:type="dxa"/>
            <w:vMerge w:val="continue"/>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560"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rPr/>
            </w:pPr>
            <w:r>
              <w:rPr>
                <w:rFonts w:eastAsia="Times New Roman" w:cs="Times New Roman" w:ascii="Times New Roman" w:hAnsi="Times New Roman"/>
                <w:bCs w:val="false"/>
                <w:iCs w:val="false"/>
                <w:color w:val="000000"/>
                <w:szCs w:val="24"/>
                <w:shd w:fill="auto" w:val="clear"/>
                <w:lang w:eastAsia="ru-RU"/>
              </w:rPr>
              <w:t xml:space="preserve">   </w:t>
            </w:r>
            <w:r>
              <w:rPr>
                <w:rFonts w:eastAsia="Times New Roman" w:cs="Times New Roman" w:ascii="Times New Roman" w:hAnsi="Times New Roman"/>
                <w:bCs w:val="false"/>
                <w:iCs w:val="false"/>
                <w:color w:val="000000"/>
                <w:szCs w:val="24"/>
                <w:shd w:fill="auto" w:val="clear"/>
                <w:lang w:eastAsia="ru-RU"/>
              </w:rPr>
              <w:t>9.5</w:t>
            </w:r>
          </w:p>
        </w:tc>
        <w:tc>
          <w:tcPr>
            <w:tcW w:w="274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ascii="Times New Roman" w:hAnsi="Times New Roman"/>
                <w:bCs w:val="false"/>
                <w:iCs w:val="false"/>
                <w:color w:val="000000"/>
                <w:sz w:val="24"/>
                <w:szCs w:val="24"/>
                <w:shd w:fill="auto" w:val="clear"/>
                <w:lang w:eastAsia="ru-RU"/>
              </w:rPr>
              <w:t>Проектирование, строительство (реконструкция), капитальный ремонт и  ремонт автомобильных дорог общего пользования муниципального значения, а также до сельских населенных пунктов, не имеющих круглогодичной связи с сетью автомобильных дорог общего пользования»</w:t>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Всего</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0,00</w:t>
            </w:r>
          </w:p>
        </w:tc>
        <w:tc>
          <w:tcPr>
            <w:tcW w:w="1350" w:type="dxa"/>
            <w:vMerge w:val="restart"/>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vMerge w:val="restart"/>
            <w:tcBorders>
              <w:bottom w:val="single" w:sz="4" w:space="0" w:color="000000"/>
              <w:right w:val="single" w:sz="4" w:space="0" w:color="000000"/>
            </w:tcBorders>
            <w:vAlign w:val="center"/>
          </w:tcPr>
          <w:p>
            <w:pPr>
              <w:pStyle w:val="Normal"/>
              <w:widowControl w:val="false"/>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Финансирование по данному мероприятию не было</w:t>
            </w:r>
          </w:p>
          <w:p>
            <w:pPr>
              <w:pStyle w:val="Normal"/>
              <w:widowControl w:val="false"/>
              <w:spacing w:lineRule="auto" w:line="240" w:before="0" w:after="0"/>
              <w:rPr>
                <w:rFonts w:ascii="Times New Roman" w:hAnsi="Times New Roman" w:eastAsia="Times New Roman" w:cs="Times New Roman"/>
                <w:b/>
                <w:i/>
                <w:i/>
                <w:color w:val="000000"/>
                <w:sz w:val="20"/>
                <w:szCs w:val="20"/>
                <w:highlight w:val="none"/>
                <w:shd w:fill="auto" w:val="clear"/>
                <w:lang w:eastAsia="ru-RU"/>
              </w:rPr>
            </w:pPr>
            <w:r>
              <w:rPr>
                <w:rFonts w:eastAsia="Times New Roman" w:cs="Times New Roman" w:ascii="Times New Roman" w:hAnsi="Times New Roman"/>
                <w:b/>
                <w:i/>
                <w:color w:val="000000"/>
                <w:sz w:val="20"/>
                <w:szCs w:val="20"/>
                <w:shd w:fill="auto" w:val="clear"/>
                <w:lang w:eastAsia="ru-RU"/>
              </w:rPr>
            </w:r>
          </w:p>
        </w:tc>
      </w:tr>
      <w:tr>
        <w:trPr>
          <w:trHeight w:val="990" w:hRule="atLeast"/>
        </w:trPr>
        <w:tc>
          <w:tcPr>
            <w:tcW w:w="509" w:type="dxa"/>
            <w:vMerge w:val="continue"/>
            <w:tcBorders>
              <w:left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0,00</w:t>
            </w:r>
          </w:p>
          <w:p>
            <w:pPr>
              <w:pStyle w:val="Normal"/>
              <w:widowControl w:val="false"/>
              <w:spacing w:lineRule="auto" w:line="240" w:before="0" w:after="0"/>
              <w:jc w:val="center"/>
              <w:rPr>
                <w:rFonts w:ascii="Times New Roman" w:hAnsi="Times New Roman"/>
                <w:b w:val="false"/>
                <w:bCs w:val="false"/>
                <w:i w:val="false"/>
                <w:i w:val="false"/>
                <w:iCs w:val="false"/>
                <w:color w:val="000000"/>
                <w:sz w:val="24"/>
                <w:szCs w:val="24"/>
                <w:highlight w:val="none"/>
                <w:shd w:fill="auto" w:val="clear"/>
                <w:lang w:eastAsia="ru-RU"/>
              </w:rPr>
            </w:pPr>
            <w:r>
              <w:rPr>
                <w:rFonts w:ascii="Times New Roman" w:hAnsi="Times New Roman"/>
                <w:b w:val="false"/>
                <w:bCs w:val="false"/>
                <w:i w:val="false"/>
                <w:iCs w:val="false"/>
                <w:color w:val="000000"/>
                <w:sz w:val="24"/>
                <w:szCs w:val="24"/>
                <w:shd w:fill="auto" w:val="clear"/>
                <w:lang w:eastAsia="ru-RU"/>
              </w:rPr>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0,00</w:t>
            </w:r>
          </w:p>
          <w:p>
            <w:pPr>
              <w:pStyle w:val="Normal"/>
              <w:widowControl w:val="false"/>
              <w:spacing w:lineRule="auto" w:line="240" w:before="0" w:after="0"/>
              <w:jc w:val="center"/>
              <w:rPr>
                <w:rFonts w:ascii="Times New Roman" w:hAnsi="Times New Roman"/>
                <w:b w:val="false"/>
                <w:bCs w:val="false"/>
                <w:i w:val="false"/>
                <w:i w:val="false"/>
                <w:iCs w:val="false"/>
                <w:color w:val="000000"/>
                <w:sz w:val="24"/>
                <w:szCs w:val="24"/>
                <w:highlight w:val="none"/>
                <w:shd w:fill="auto" w:val="clear"/>
                <w:lang w:eastAsia="ru-RU"/>
              </w:rPr>
            </w:pPr>
            <w:r>
              <w:rPr>
                <w:rFonts w:ascii="Times New Roman" w:hAnsi="Times New Roman"/>
                <w:b w:val="false"/>
                <w:bCs w:val="false"/>
                <w:i w:val="false"/>
                <w:iCs w:val="false"/>
                <w:color w:val="000000"/>
                <w:sz w:val="24"/>
                <w:szCs w:val="24"/>
                <w:shd w:fill="auto" w:val="clear"/>
                <w:lang w:eastAsia="ru-RU"/>
              </w:rPr>
            </w:r>
          </w:p>
        </w:tc>
        <w:tc>
          <w:tcPr>
            <w:tcW w:w="1350" w:type="dxa"/>
            <w:vMerge w:val="continue"/>
            <w:tcBorders>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right w:val="single" w:sz="4" w:space="0" w:color="000000"/>
            </w:tcBorders>
            <w:vAlign w:val="center"/>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777"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областной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ascii="Times New Roman" w:hAnsi="Times New Roman"/>
                <w:bCs w:val="false"/>
                <w:iCs w:val="false"/>
                <w:color w:val="000000"/>
                <w:szCs w:val="24"/>
                <w:shd w:fill="auto" w:val="clear"/>
                <w:lang w:eastAsia="ru-RU"/>
              </w:rPr>
              <w:t>0,0</w:t>
            </w:r>
          </w:p>
        </w:tc>
        <w:tc>
          <w:tcPr>
            <w:tcW w:w="1350" w:type="dxa"/>
            <w:vMerge w:val="continue"/>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312"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9.6.</w:t>
            </w:r>
          </w:p>
        </w:tc>
        <w:tc>
          <w:tcPr>
            <w:tcW w:w="274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Установка, приобретение дорожных знаков в соответствии со схемами дислокации дорожных знаков и нанесение дорожной разметки</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Всего</w:t>
            </w:r>
          </w:p>
        </w:tc>
        <w:tc>
          <w:tcPr>
            <w:tcW w:w="1246" w:type="dxa"/>
            <w:tcBorders>
              <w:bottom w:val="single" w:sz="4" w:space="0" w:color="000000"/>
              <w:right w:val="single" w:sz="4" w:space="0" w:color="000000"/>
            </w:tcBorders>
            <w:vAlign w:val="center"/>
          </w:tcPr>
          <w:p>
            <w:pPr>
              <w:pStyle w:val="Normal"/>
              <w:widowControl w:val="false"/>
              <w:spacing w:before="0" w:after="0"/>
              <w:jc w:val="center"/>
              <w:rPr>
                <w:highlight w:val="none"/>
                <w:shd w:fill="auto" w:val="clear"/>
              </w:rPr>
            </w:pPr>
            <w:r>
              <w:rPr>
                <w:rFonts w:eastAsia="Times New Roman" w:cs="Times New Roman" w:ascii="Times New Roman" w:hAnsi="Times New Roman"/>
                <w:color w:val="000000"/>
                <w:sz w:val="20"/>
                <w:shd w:fill="auto" w:val="clear"/>
                <w:lang w:eastAsia="ru-RU"/>
              </w:rPr>
              <w:t>423,8</w:t>
            </w:r>
          </w:p>
        </w:tc>
        <w:tc>
          <w:tcPr>
            <w:tcW w:w="1369" w:type="dxa"/>
            <w:tcBorders>
              <w:bottom w:val="single" w:sz="4" w:space="0" w:color="000000"/>
              <w:right w:val="single" w:sz="4" w:space="0" w:color="000000"/>
            </w:tcBorders>
            <w:vAlign w:val="center"/>
          </w:tcPr>
          <w:p>
            <w:pPr>
              <w:pStyle w:val="Normal"/>
              <w:widowControl w:val="false"/>
              <w:spacing w:before="0" w:after="0"/>
              <w:jc w:val="center"/>
              <w:rPr>
                <w:highlight w:val="none"/>
                <w:shd w:fill="auto" w:val="clear"/>
              </w:rPr>
            </w:pPr>
            <w:r>
              <w:rPr>
                <w:rFonts w:eastAsia="Times New Roman" w:cs="Times New Roman" w:ascii="Times New Roman" w:hAnsi="Times New Roman"/>
                <w:color w:val="000000"/>
                <w:sz w:val="20"/>
                <w:shd w:fill="auto" w:val="clear"/>
                <w:lang w:eastAsia="ru-RU"/>
              </w:rPr>
              <w:t>423,8</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b w:val="false"/>
                <w:bCs w:val="false"/>
                <w:i w:val="false"/>
                <w:i w:val="false"/>
                <w:iCs w:val="false"/>
                <w:sz w:val="20"/>
                <w:szCs w:val="20"/>
                <w:highlight w:val="none"/>
                <w:shd w:fill="auto" w:val="clear"/>
              </w:rPr>
            </w:pPr>
            <w:r>
              <w:rPr>
                <w:b w:val="false"/>
                <w:bCs w:val="false"/>
                <w:i w:val="false"/>
                <w:iCs w:val="false"/>
                <w:sz w:val="20"/>
                <w:szCs w:val="20"/>
                <w:shd w:fill="auto" w:val="clear"/>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b w:val="false"/>
                <w:bCs w:val="false"/>
                <w:i w:val="false"/>
                <w:i w:val="false"/>
                <w:iCs w:val="false"/>
                <w:sz w:val="20"/>
                <w:szCs w:val="20"/>
                <w:highlight w:val="none"/>
                <w:shd w:fill="auto" w:val="clear"/>
              </w:rPr>
            </w:pPr>
            <w:r>
              <w:rPr>
                <w:b w:val="false"/>
                <w:bCs w:val="false"/>
                <w:i w:val="false"/>
                <w:iCs w:val="false"/>
                <w:sz w:val="20"/>
                <w:szCs w:val="20"/>
                <w:shd w:fill="auto" w:val="clear"/>
              </w:rPr>
            </w:r>
          </w:p>
        </w:tc>
      </w:tr>
      <w:tr>
        <w:trPr>
          <w:trHeight w:val="936"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shd w:fill="FFFFFF" w:val="clear"/>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shd w:fill="FFFFFF" w:val="clear"/>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«УДЖНП» Прокопьевского муниципального района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b w:val="false"/>
                <w:bCs w:val="false"/>
                <w:i w:val="false"/>
                <w:i w:val="false"/>
                <w:iCs w:val="false"/>
                <w:sz w:val="20"/>
                <w:szCs w:val="20"/>
                <w:highlight w:val="none"/>
                <w:shd w:fill="auto" w:val="clear"/>
              </w:rPr>
            </w:pPr>
            <w:r>
              <w:rPr>
                <w:b w:val="false"/>
                <w:bCs w:val="false"/>
                <w:i w:val="false"/>
                <w:iCs w:val="false"/>
                <w:sz w:val="20"/>
                <w:szCs w:val="20"/>
                <w:shd w:fill="auto" w:val="clear"/>
              </w:rPr>
            </w:r>
          </w:p>
        </w:tc>
      </w:tr>
      <w:tr>
        <w:trPr>
          <w:trHeight w:val="1092"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46" w:type="dxa"/>
            <w:tcBorders>
              <w:bottom w:val="single" w:sz="4" w:space="0" w:color="000000"/>
              <w:right w:val="single" w:sz="4" w:space="0" w:color="000000"/>
            </w:tcBorders>
            <w:shd w:fill="F2DCDB" w:val="clear"/>
            <w:vAlign w:val="center"/>
          </w:tcPr>
          <w:p>
            <w:pPr>
              <w:pStyle w:val="Normal"/>
              <w:widowControl w:val="false"/>
              <w:spacing w:before="0" w:after="0"/>
              <w:jc w:val="center"/>
              <w:rPr>
                <w:highlight w:val="none"/>
                <w:shd w:fill="auto" w:val="clear"/>
              </w:rPr>
            </w:pPr>
            <w:r>
              <w:rPr>
                <w:rFonts w:eastAsia="Times New Roman" w:cs="Times New Roman" w:ascii="Times New Roman" w:hAnsi="Times New Roman"/>
                <w:color w:val="000000"/>
                <w:sz w:val="20"/>
                <w:shd w:fill="auto" w:val="clear"/>
                <w:lang w:eastAsia="ru-RU"/>
              </w:rPr>
              <w:t>423,8</w:t>
            </w:r>
          </w:p>
        </w:tc>
        <w:tc>
          <w:tcPr>
            <w:tcW w:w="1369" w:type="dxa"/>
            <w:tcBorders>
              <w:bottom w:val="single" w:sz="4" w:space="0" w:color="000000"/>
              <w:right w:val="single" w:sz="4" w:space="0" w:color="000000"/>
            </w:tcBorders>
            <w:shd w:fill="F2DCDB" w:val="clear"/>
            <w:vAlign w:val="center"/>
          </w:tcPr>
          <w:p>
            <w:pPr>
              <w:pStyle w:val="Normal"/>
              <w:widowControl w:val="false"/>
              <w:spacing w:before="0" w:after="0"/>
              <w:jc w:val="center"/>
              <w:rPr>
                <w:highlight w:val="none"/>
                <w:shd w:fill="auto" w:val="clear"/>
              </w:rPr>
            </w:pPr>
            <w:r>
              <w:rPr>
                <w:rFonts w:eastAsia="Times New Roman" w:cs="Times New Roman" w:ascii="Times New Roman" w:hAnsi="Times New Roman"/>
                <w:color w:val="000000"/>
                <w:sz w:val="20"/>
                <w:shd w:fill="auto" w:val="clear"/>
                <w:lang w:eastAsia="ru-RU"/>
              </w:rPr>
              <w:t>423,8</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tcBorders>
              <w:bottom w:val="single" w:sz="4" w:space="0" w:color="000000"/>
              <w:right w:val="single" w:sz="4" w:space="0" w:color="000000"/>
            </w:tcBorders>
            <w:vAlign w:val="bottom"/>
          </w:tcPr>
          <w:p>
            <w:pPr>
              <w:pStyle w:val="Normal"/>
              <w:widowControl w:val="false"/>
              <w:spacing w:before="0" w:after="0"/>
              <w:jc w:val="both"/>
              <w:rPr>
                <w:sz w:val="20"/>
                <w:szCs w:val="20"/>
              </w:rPr>
            </w:pPr>
            <w:r>
              <w:rPr>
                <w:rFonts w:ascii="Times New Roman" w:hAnsi="Times New Roman"/>
                <w:bCs w:val="false"/>
                <w:iCs w:val="false"/>
                <w:color w:val="000000"/>
                <w:sz w:val="20"/>
                <w:szCs w:val="20"/>
                <w:shd w:fill="auto" w:val="clear"/>
                <w:lang w:eastAsia="ru-RU"/>
              </w:rPr>
              <w:t>Установка дорожных знаков: 108 знаков, 130 стоек</w:t>
            </w:r>
          </w:p>
        </w:tc>
      </w:tr>
      <w:tr>
        <w:trPr>
          <w:trHeight w:val="312"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9.7.</w:t>
            </w:r>
          </w:p>
        </w:tc>
        <w:tc>
          <w:tcPr>
            <w:tcW w:w="2748" w:type="dxa"/>
            <w:vMerge w:val="restart"/>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Ограждения дорог,  пешеходные дорожки и ограждения к ним</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Всего</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 w:val="20"/>
                <w:szCs w:val="24"/>
                <w:shd w:fill="auto" w:val="clear"/>
                <w:lang w:eastAsia="ru-RU"/>
              </w:rPr>
              <w:t>107,9</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 w:val="20"/>
                <w:szCs w:val="24"/>
                <w:shd w:fill="auto" w:val="clear"/>
                <w:lang w:eastAsia="ru-RU"/>
              </w:rPr>
              <w:t>107,9</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color w:val="000000"/>
                <w:sz w:val="20"/>
                <w:szCs w:val="20"/>
                <w:highlight w:val="none"/>
                <w:shd w:fill="auto" w:val="clear"/>
              </w:rPr>
            </w:pPr>
            <w:r>
              <w:rPr>
                <w:color w:val="000000"/>
                <w:sz w:val="20"/>
                <w:szCs w:val="20"/>
                <w:shd w:fill="auto" w:val="clear"/>
              </w:rPr>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b w:val="false"/>
                <w:bCs w:val="false"/>
                <w:i w:val="false"/>
                <w:i w:val="false"/>
                <w:iCs w:val="false"/>
                <w:sz w:val="20"/>
                <w:szCs w:val="20"/>
                <w:highlight w:val="none"/>
                <w:shd w:fill="auto" w:val="clear"/>
              </w:rPr>
            </w:pPr>
            <w:r>
              <w:rPr>
                <w:b w:val="false"/>
                <w:bCs w:val="false"/>
                <w:i w:val="false"/>
                <w:iCs w:val="false"/>
                <w:sz w:val="20"/>
                <w:szCs w:val="20"/>
                <w:shd w:fill="auto" w:val="clear"/>
              </w:rPr>
            </w:r>
          </w:p>
        </w:tc>
      </w:tr>
      <w:tr>
        <w:trPr>
          <w:trHeight w:val="1045"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left"/>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 местный бюджет</w:t>
            </w:r>
          </w:p>
        </w:tc>
        <w:tc>
          <w:tcPr>
            <w:tcW w:w="1246" w:type="dxa"/>
            <w:tcBorders>
              <w:bottom w:val="single" w:sz="4" w:space="0" w:color="000000"/>
              <w:right w:val="single" w:sz="4" w:space="0" w:color="000000"/>
            </w:tcBorders>
            <w:shd w:fill="F2DCDB" w:val="clear"/>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 w:val="20"/>
                <w:szCs w:val="24"/>
                <w:shd w:fill="auto" w:val="clear"/>
                <w:lang w:eastAsia="ru-RU"/>
              </w:rPr>
              <w:t>107,9</w:t>
            </w:r>
          </w:p>
        </w:tc>
        <w:tc>
          <w:tcPr>
            <w:tcW w:w="1369" w:type="dxa"/>
            <w:tcBorders>
              <w:bottom w:val="single" w:sz="4" w:space="0" w:color="000000"/>
              <w:right w:val="single" w:sz="4" w:space="0" w:color="000000"/>
            </w:tcBorders>
            <w:shd w:fill="F2DCDB" w:val="clear"/>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 w:val="20"/>
                <w:szCs w:val="24"/>
                <w:shd w:fill="auto" w:val="clear"/>
                <w:lang w:eastAsia="ru-RU"/>
              </w:rPr>
              <w:t>107,9</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tcBorders>
              <w:bottom w:val="single" w:sz="4" w:space="0" w:color="000000"/>
              <w:right w:val="single" w:sz="4" w:space="0" w:color="000000"/>
            </w:tcBorders>
            <w:vAlign w:val="bottom"/>
          </w:tcPr>
          <w:p>
            <w:pPr>
              <w:pStyle w:val="Normal"/>
              <w:widowControl w:val="false"/>
              <w:spacing w:before="0" w:after="200"/>
              <w:rPr>
                <w:sz w:val="20"/>
                <w:szCs w:val="20"/>
              </w:rPr>
            </w:pPr>
            <w:r>
              <w:rPr>
                <w:rFonts w:eastAsia="Times New Roman" w:cs="Times New Roman" w:ascii="Times New Roman" w:hAnsi="Times New Roman"/>
                <w:bCs w:val="false"/>
                <w:iCs w:val="false"/>
                <w:color w:val="000000"/>
                <w:sz w:val="20"/>
                <w:szCs w:val="20"/>
                <w:shd w:fill="auto" w:val="clear"/>
                <w:lang w:eastAsia="ru-RU"/>
              </w:rPr>
              <w:t>пгт. Краснобродский</w:t>
            </w:r>
          </w:p>
        </w:tc>
      </w:tr>
      <w:tr>
        <w:trPr>
          <w:trHeight w:val="936" w:hRule="atLeast"/>
        </w:trPr>
        <w:tc>
          <w:tcPr>
            <w:tcW w:w="509" w:type="dxa"/>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9.8.</w:t>
            </w:r>
          </w:p>
        </w:tc>
        <w:tc>
          <w:tcPr>
            <w:tcW w:w="2748" w:type="dxa"/>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Приобретение и ремонт техники</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«УДЖНП» Прокопьевского муниципального района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eastAsia="Times New Roman" w:cs="Calibri"/>
                <w:bCs w:val="false"/>
                <w:iCs w:val="false"/>
                <w:color w:val="000000"/>
                <w:sz w:val="20"/>
                <w:szCs w:val="20"/>
                <w:shd w:fill="auto" w:val="clear"/>
                <w:lang w:eastAsia="ru-RU"/>
              </w:rPr>
              <w:t> </w:t>
            </w:r>
            <w:r>
              <w:rPr>
                <w:rFonts w:eastAsia="Times New Roman" w:cs="Times New Roman" w:ascii="Times New Roman" w:hAnsi="Times New Roman"/>
                <w:bCs w:val="false"/>
                <w:iCs w:val="false"/>
                <w:color w:val="000000"/>
                <w:sz w:val="20"/>
                <w:szCs w:val="20"/>
                <w:shd w:fill="auto" w:val="clear"/>
                <w:lang w:eastAsia="ru-RU"/>
              </w:rPr>
              <w:t>За 2025 год без денежных затрат</w:t>
            </w:r>
          </w:p>
          <w:p>
            <w:pPr>
              <w:pStyle w:val="Normal"/>
              <w:widowControl w:val="false"/>
              <w:spacing w:lineRule="auto" w:line="240" w:before="0" w:after="0"/>
              <w:rPr>
                <w:rFonts w:ascii="Calibri" w:hAnsi="Calibri" w:eastAsia="Times New Roman" w:cs="Calibri"/>
                <w:b w:val="false"/>
                <w:bCs w:val="false"/>
                <w:i w:val="false"/>
                <w:i w:val="false"/>
                <w:iCs w:val="false"/>
                <w:color w:val="000000"/>
                <w:sz w:val="20"/>
                <w:szCs w:val="20"/>
                <w:highlight w:val="none"/>
                <w:shd w:fill="auto" w:val="clear"/>
                <w:lang w:eastAsia="ru-RU"/>
              </w:rPr>
            </w:pPr>
            <w:r>
              <w:rPr>
                <w:rFonts w:eastAsia="Times New Roman" w:cs="Calibri"/>
                <w:b w:val="false"/>
                <w:bCs w:val="false"/>
                <w:i w:val="false"/>
                <w:iCs w:val="false"/>
                <w:color w:val="000000"/>
                <w:sz w:val="20"/>
                <w:szCs w:val="20"/>
                <w:shd w:fill="auto" w:val="clear"/>
                <w:lang w:eastAsia="ru-RU"/>
              </w:rPr>
            </w:r>
          </w:p>
        </w:tc>
      </w:tr>
      <w:tr>
        <w:trPr>
          <w:trHeight w:val="297"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9.9</w:t>
            </w:r>
          </w:p>
        </w:tc>
        <w:tc>
          <w:tcPr>
            <w:tcW w:w="2748" w:type="dxa"/>
            <w:vMerge w:val="restart"/>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Развитие транспортной инфраструктуры на сельских территориях</w:t>
            </w:r>
          </w:p>
          <w:p>
            <w:pPr>
              <w:pStyle w:val="Normal"/>
              <w:widowControl w:val="false"/>
              <w:spacing w:lineRule="auto" w:line="240" w:before="0" w:after="0"/>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r>
          </w:p>
          <w:p>
            <w:pPr>
              <w:pStyle w:val="Normal"/>
              <w:widowControl w:val="false"/>
              <w:spacing w:lineRule="auto" w:line="240" w:before="0" w:after="0"/>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r>
          </w:p>
          <w:p>
            <w:pPr>
              <w:pStyle w:val="Normal"/>
              <w:widowControl w:val="false"/>
              <w:spacing w:lineRule="auto" w:line="240" w:before="0" w:after="0"/>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r>
          </w:p>
          <w:p>
            <w:pPr>
              <w:pStyle w:val="Normal"/>
              <w:widowControl w:val="false"/>
              <w:spacing w:lineRule="auto" w:line="240" w:before="0" w:after="0"/>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r>
          </w:p>
          <w:p>
            <w:pPr>
              <w:pStyle w:val="Normal"/>
              <w:widowControl w:val="false"/>
              <w:spacing w:lineRule="auto" w:line="240" w:before="0" w:after="0"/>
              <w:rPr>
                <w:rFonts w:ascii="Times New Roman" w:hAnsi="Times New Roman" w:eastAsia="Times New Roman" w:cs="Times New Roman"/>
                <w:color w:val="000000"/>
                <w:highlight w:val="none"/>
                <w:shd w:fill="auto" w:val="clear"/>
                <w:lang w:eastAsia="ru-RU"/>
              </w:rPr>
            </w:pPr>
            <w:r>
              <w:rPr>
                <w:rFonts w:eastAsia="Times New Roman" w:cs="Times New Roman" w:ascii="Times New Roman" w:hAnsi="Times New Roman"/>
                <w:color w:val="000000"/>
                <w:shd w:fill="auto" w:val="clear"/>
                <w:lang w:eastAsia="ru-RU"/>
              </w:rPr>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Всего</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vMerge w:val="restart"/>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rFonts w:ascii="Times New Roman" w:hAnsi="Times New Roman" w:eastAsia="Times New Roman" w:cs="Times New Roman"/>
                <w:color w:val="000000"/>
                <w:sz w:val="20"/>
                <w:szCs w:val="20"/>
                <w:highlight w:val="none"/>
                <w:shd w:fill="auto" w:val="clear"/>
                <w:lang w:eastAsia="ru-RU"/>
              </w:rPr>
            </w:pPr>
            <w:r>
              <w:rPr>
                <w:rFonts w:eastAsia="Times New Roman" w:cs="Times New Roman" w:ascii="Times New Roman" w:hAnsi="Times New Roman"/>
                <w:color w:val="000000"/>
                <w:sz w:val="20"/>
                <w:szCs w:val="20"/>
                <w:shd w:fill="auto" w:val="clear"/>
                <w:lang w:eastAsia="ru-RU"/>
              </w:rPr>
            </w:r>
          </w:p>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vMerge w:val="restart"/>
            <w:tcBorders>
              <w:bottom w:val="single" w:sz="4" w:space="0" w:color="000000"/>
              <w:right w:val="single" w:sz="4" w:space="0" w:color="000000"/>
            </w:tcBorders>
            <w:vAlign w:val="bottom"/>
          </w:tcPr>
          <w:p>
            <w:pPr>
              <w:pStyle w:val="Normal"/>
              <w:widowControl w:val="false"/>
              <w:spacing w:lineRule="auto" w:line="240" w:before="1254" w:after="1254"/>
              <w:rPr>
                <w:sz w:val="20"/>
                <w:szCs w:val="20"/>
              </w:rPr>
            </w:pPr>
            <w:r>
              <w:rPr>
                <w:rFonts w:cs="Times New Roman" w:ascii="Times New Roman" w:hAnsi="Times New Roman"/>
                <w:bCs w:val="false"/>
                <w:iCs w:val="false"/>
                <w:sz w:val="20"/>
                <w:szCs w:val="20"/>
                <w:shd w:fill="auto" w:val="clear"/>
              </w:rPr>
              <w:t>Финансирование по данному мероприятию не было</w:t>
            </w:r>
          </w:p>
        </w:tc>
      </w:tr>
      <w:tr>
        <w:trPr>
          <w:trHeight w:val="936" w:hRule="atLeast"/>
        </w:trPr>
        <w:tc>
          <w:tcPr>
            <w:tcW w:w="509" w:type="dxa"/>
            <w:vMerge w:val="continue"/>
            <w:tcBorders>
              <w:left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vMerge w:val="continue"/>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right w:val="single" w:sz="4" w:space="0" w:color="000000"/>
            </w:tcBorders>
            <w:vAlign w:val="bottom"/>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936" w:hRule="atLeast"/>
        </w:trPr>
        <w:tc>
          <w:tcPr>
            <w:tcW w:w="509" w:type="dxa"/>
            <w:vMerge w:val="continue"/>
            <w:tcBorders>
              <w:left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областной бюджет</w:t>
            </w:r>
          </w:p>
        </w:tc>
        <w:tc>
          <w:tcPr>
            <w:tcW w:w="1246"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vMerge w:val="continue"/>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right w:val="single" w:sz="4" w:space="0" w:color="000000"/>
            </w:tcBorders>
            <w:vAlign w:val="bottom"/>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936" w:hRule="atLeast"/>
        </w:trPr>
        <w:tc>
          <w:tcPr>
            <w:tcW w:w="509"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федеральный</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vMerge w:val="continue"/>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bottom w:val="single" w:sz="4" w:space="0" w:color="000000"/>
              <w:right w:val="single" w:sz="4" w:space="0" w:color="000000"/>
            </w:tcBorders>
            <w:vAlign w:val="bottom"/>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331" w:hRule="atLeast"/>
        </w:trPr>
        <w:tc>
          <w:tcPr>
            <w:tcW w:w="509" w:type="dxa"/>
            <w:vMerge w:val="restart"/>
            <w:tcBorders>
              <w:left w:val="single" w:sz="4" w:space="0" w:color="000000"/>
              <w:bottom w:val="single" w:sz="4" w:space="0" w:color="000000"/>
              <w:right w:val="single" w:sz="4" w:space="0" w:color="000000"/>
            </w:tcBorders>
            <w:vAlign w:val="center"/>
          </w:tcPr>
          <w:p>
            <w:pPr>
              <w:pStyle w:val="Normal"/>
              <w:widowControl w:val="false"/>
              <w:overflowPunct w:val="true"/>
              <w:bidi w:val="0"/>
              <w:spacing w:lineRule="auto" w:line="240" w:before="0" w:after="0"/>
              <w:ind w:left="-170" w:right="-113" w:hanging="0"/>
              <w:jc w:val="center"/>
              <w:rPr/>
            </w:pPr>
            <w:r>
              <w:rPr>
                <w:rFonts w:ascii="Tinos" w:hAnsi="Tinos"/>
                <w:bCs w:val="false"/>
                <w:iCs w:val="false"/>
                <w:sz w:val="22"/>
                <w:szCs w:val="22"/>
                <w:shd w:fill="auto" w:val="clear"/>
              </w:rPr>
              <w:t>9.10</w:t>
            </w:r>
          </w:p>
        </w:tc>
        <w:tc>
          <w:tcPr>
            <w:tcW w:w="2748" w:type="dxa"/>
            <w:vMerge w:val="restart"/>
            <w:tcBorders>
              <w:bottom w:val="single" w:sz="4" w:space="0" w:color="000000"/>
              <w:right w:val="single" w:sz="4" w:space="0" w:color="000000"/>
            </w:tcBorders>
            <w:vAlign w:val="center"/>
          </w:tcPr>
          <w:p>
            <w:pPr>
              <w:pStyle w:val="Normal"/>
              <w:widowControl w:val="false"/>
              <w:spacing w:before="0" w:after="200"/>
              <w:jc w:val="left"/>
              <w:rPr>
                <w:sz w:val="22"/>
                <w:szCs w:val="22"/>
                <w:highlight w:val="none"/>
                <w:shd w:fill="auto" w:val="clear"/>
              </w:rPr>
            </w:pPr>
            <w:r>
              <w:rPr>
                <w:rFonts w:ascii="Times New Roman" w:hAnsi="Times New Roman"/>
                <w:sz w:val="22"/>
                <w:szCs w:val="22"/>
                <w:shd w:fill="auto" w:val="clear"/>
              </w:rPr>
              <w:t>Обеспечение дорожной деятельности в отношении дорог общего пользования местного значения</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Всего</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0,0</w:t>
            </w:r>
          </w:p>
        </w:tc>
        <w:tc>
          <w:tcPr>
            <w:tcW w:w="1350" w:type="dxa"/>
            <w:vMerge w:val="restart"/>
            <w:tcBorders>
              <w:bottom w:val="single" w:sz="4" w:space="0" w:color="000000"/>
              <w:right w:val="single" w:sz="4" w:space="0" w:color="000000"/>
            </w:tcBorders>
            <w:vAlign w:val="center"/>
          </w:tcPr>
          <w:p>
            <w:pPr>
              <w:pStyle w:val="Normal"/>
              <w:widowControl w:val="false"/>
              <w:tabs>
                <w:tab w:val="clear" w:pos="708"/>
                <w:tab w:val="left" w:pos="960" w:leader="none"/>
              </w:tabs>
              <w:spacing w:lineRule="auto" w:line="240" w:before="0" w:after="0"/>
              <w:rPr>
                <w:b w:val="false"/>
                <w:bCs w:val="false"/>
                <w:i w:val="false"/>
                <w:i w:val="false"/>
                <w:iCs w:val="false"/>
                <w:sz w:val="20"/>
                <w:szCs w:val="20"/>
                <w:highlight w:val="none"/>
                <w:shd w:fill="auto" w:val="clear"/>
              </w:rPr>
            </w:pPr>
            <w:r>
              <w:rPr>
                <w:b w:val="false"/>
                <w:bCs w:val="false"/>
                <w:i w:val="false"/>
                <w:iCs w:val="false"/>
                <w:sz w:val="20"/>
                <w:szCs w:val="20"/>
                <w:shd w:fill="auto" w:val="clear"/>
              </w:rPr>
            </w:r>
          </w:p>
          <w:p>
            <w:pPr>
              <w:pStyle w:val="Normal"/>
              <w:widowControl w:val="false"/>
              <w:tabs>
                <w:tab w:val="clear" w:pos="708"/>
                <w:tab w:val="left" w:pos="960" w:leader="none"/>
              </w:tabs>
              <w:spacing w:lineRule="auto" w:line="240" w:before="0" w:after="0"/>
              <w:rPr>
                <w:b w:val="false"/>
                <w:bCs w:val="false"/>
                <w:i w:val="false"/>
                <w:i w:val="false"/>
                <w:iCs w:val="false"/>
                <w:sz w:val="20"/>
                <w:szCs w:val="20"/>
                <w:highlight w:val="none"/>
                <w:shd w:fill="auto" w:val="clear"/>
              </w:rPr>
            </w:pPr>
            <w:r>
              <w:rPr>
                <w:b w:val="false"/>
                <w:bCs w:val="false"/>
                <w:i w:val="false"/>
                <w:iCs w:val="false"/>
                <w:sz w:val="20"/>
                <w:szCs w:val="20"/>
                <w:shd w:fill="auto" w:val="clear"/>
              </w:rPr>
            </w:r>
          </w:p>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vMerge w:val="restart"/>
            <w:tcBorders>
              <w:bottom w:val="single" w:sz="4" w:space="0" w:color="000000"/>
              <w:right w:val="single" w:sz="4" w:space="0" w:color="000000"/>
            </w:tcBorders>
            <w:vAlign w:val="bottom"/>
          </w:tcPr>
          <w:p>
            <w:pPr>
              <w:pStyle w:val="Normal"/>
              <w:widowControl w:val="false"/>
              <w:spacing w:lineRule="auto" w:line="240" w:before="741" w:after="741"/>
              <w:rPr>
                <w:sz w:val="20"/>
                <w:szCs w:val="20"/>
              </w:rPr>
            </w:pPr>
            <w:r>
              <w:rPr>
                <w:rFonts w:cs="Times New Roman" w:ascii="Times New Roman" w:hAnsi="Times New Roman"/>
                <w:sz w:val="20"/>
                <w:szCs w:val="20"/>
                <w:shd w:fill="auto" w:val="clear"/>
              </w:rPr>
              <w:t>Финансирование по данному мероприятию не было</w:t>
            </w:r>
          </w:p>
        </w:tc>
      </w:tr>
      <w:tr>
        <w:trPr>
          <w:trHeight w:val="960" w:hRule="atLeast"/>
        </w:trPr>
        <w:tc>
          <w:tcPr>
            <w:tcW w:w="509" w:type="dxa"/>
            <w:vMerge w:val="continue"/>
            <w:tcBorders>
              <w:left w:val="single" w:sz="4" w:space="0" w:color="000000"/>
              <w:bottom w:val="single" w:sz="4" w:space="0" w:color="000000"/>
              <w:right w:val="single" w:sz="4" w:space="0" w:color="000000"/>
            </w:tcBorders>
            <w:vAlign w:val="bottom"/>
          </w:tcPr>
          <w:p>
            <w:pPr>
              <w:pStyle w:val="Normal"/>
              <w:widowControl w:val="false"/>
              <w:suppressAutoHyphens w:val="true"/>
              <w:overflowPunct w:val="true"/>
              <w:bidi w:val="0"/>
              <w:spacing w:lineRule="auto" w:line="276" w:before="0" w:after="200"/>
              <w:ind w:left="-170" w:right="-113" w:hanging="0"/>
              <w:jc w:val="left"/>
              <w:rPr>
                <w:sz w:val="22"/>
                <w:szCs w:val="22"/>
                <w:highlight w:val="none"/>
                <w:shd w:fill="auto" w:val="clear"/>
              </w:rPr>
            </w:pPr>
            <w:r>
              <w:rPr>
                <w:sz w:val="22"/>
                <w:szCs w:val="22"/>
                <w:shd w:fill="auto" w:val="clear"/>
              </w:rPr>
            </w:r>
          </w:p>
        </w:tc>
        <w:tc>
          <w:tcPr>
            <w:tcW w:w="2748" w:type="dxa"/>
            <w:vMerge w:val="continue"/>
            <w:tcBorders>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sz w:val="22"/>
                <w:szCs w:val="22"/>
                <w:highlight w:val="none"/>
                <w:shd w:fill="auto" w:val="clear"/>
              </w:rPr>
            </w:pPr>
            <w:r>
              <w:rPr>
                <w:sz w:val="22"/>
                <w:szCs w:val="22"/>
                <w:shd w:fill="auto" w:val="clear"/>
              </w:rPr>
            </w:r>
          </w:p>
        </w:tc>
        <w:tc>
          <w:tcPr>
            <w:tcW w:w="1268" w:type="dxa"/>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pPr>
              <w:pStyle w:val="Normal"/>
              <w:widowControl w:val="false"/>
              <w:spacing w:lineRule="auto" w:line="240" w:before="0" w:after="0"/>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в том числе</w:t>
            </w:r>
          </w:p>
          <w:p>
            <w:pPr>
              <w:pStyle w:val="Normal"/>
              <w:widowControl w:val="false"/>
              <w:spacing w:lineRule="auto" w:line="240" w:before="0" w:after="0"/>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0,0</w:t>
            </w:r>
          </w:p>
        </w:tc>
        <w:tc>
          <w:tcPr>
            <w:tcW w:w="1350" w:type="dxa"/>
            <w:vMerge w:val="continue"/>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bottom w:val="single" w:sz="4" w:space="0" w:color="000000"/>
              <w:right w:val="single" w:sz="4" w:space="0" w:color="000000"/>
            </w:tcBorders>
            <w:vAlign w:val="bottom"/>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800" w:hRule="atLeast"/>
        </w:trPr>
        <w:tc>
          <w:tcPr>
            <w:tcW w:w="509" w:type="dxa"/>
            <w:vMerge w:val="continue"/>
            <w:tcBorders>
              <w:left w:val="single" w:sz="4" w:space="0" w:color="000000"/>
              <w:bottom w:val="single" w:sz="4" w:space="0" w:color="000000"/>
              <w:right w:val="single" w:sz="4" w:space="0" w:color="000000"/>
            </w:tcBorders>
            <w:vAlign w:val="bottom"/>
          </w:tcPr>
          <w:p>
            <w:pPr>
              <w:pStyle w:val="Normal"/>
              <w:widowControl w:val="false"/>
              <w:suppressAutoHyphens w:val="true"/>
              <w:overflowPunct w:val="true"/>
              <w:bidi w:val="0"/>
              <w:spacing w:lineRule="auto" w:line="276" w:before="0" w:after="200"/>
              <w:ind w:left="-170" w:right="-113" w:hanging="0"/>
              <w:jc w:val="left"/>
              <w:rPr>
                <w:sz w:val="22"/>
                <w:szCs w:val="22"/>
                <w:highlight w:val="none"/>
                <w:shd w:fill="auto" w:val="clear"/>
              </w:rPr>
            </w:pPr>
            <w:r>
              <w:rPr>
                <w:sz w:val="22"/>
                <w:szCs w:val="22"/>
                <w:shd w:fill="auto" w:val="clear"/>
              </w:rPr>
            </w:r>
          </w:p>
        </w:tc>
        <w:tc>
          <w:tcPr>
            <w:tcW w:w="2748" w:type="dxa"/>
            <w:vMerge w:val="continue"/>
            <w:tcBorders>
              <w:bottom w:val="single" w:sz="4" w:space="0" w:color="000000"/>
              <w:right w:val="single" w:sz="4" w:space="0" w:color="000000"/>
            </w:tcBorders>
            <w:vAlign w:val="center"/>
          </w:tcPr>
          <w:p>
            <w:pPr>
              <w:pStyle w:val="Normal"/>
              <w:widowControl w:val="false"/>
              <w:suppressAutoHyphens w:val="true"/>
              <w:overflowPunct w:val="true"/>
              <w:bidi w:val="0"/>
              <w:spacing w:lineRule="auto" w:line="276" w:before="0" w:after="200"/>
              <w:jc w:val="left"/>
              <w:rPr>
                <w:sz w:val="22"/>
                <w:szCs w:val="22"/>
                <w:highlight w:val="none"/>
                <w:shd w:fill="auto" w:val="clear"/>
              </w:rPr>
            </w:pPr>
            <w:r>
              <w:rPr>
                <w:sz w:val="22"/>
                <w:szCs w:val="22"/>
                <w:shd w:fill="auto" w:val="clear"/>
              </w:rPr>
            </w:r>
          </w:p>
        </w:tc>
        <w:tc>
          <w:tcPr>
            <w:tcW w:w="1268" w:type="dxa"/>
            <w:tcBorders>
              <w:left w:val="single" w:sz="4" w:space="0" w:color="000000"/>
              <w:bottom w:val="single" w:sz="4" w:space="0" w:color="000000"/>
              <w:right w:val="single" w:sz="4" w:space="0" w:color="000000"/>
            </w:tcBorders>
            <w:tcMar>
              <w:top w:w="55" w:type="dxa"/>
              <w:bottom w:w="55" w:type="dxa"/>
            </w:tcMar>
            <w:vAlign w:val="center"/>
          </w:tcPr>
          <w:p>
            <w:pPr>
              <w:pStyle w:val="Normal"/>
              <w:widowControl w:val="false"/>
              <w:spacing w:lineRule="auto" w:line="240" w:before="0" w:after="0"/>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в том числе</w:t>
            </w:r>
          </w:p>
          <w:p>
            <w:pPr>
              <w:pStyle w:val="Normal"/>
              <w:widowControl w:val="false"/>
              <w:spacing w:lineRule="auto" w:line="240" w:before="0" w:after="0"/>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областной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sz w:val="22"/>
                <w:szCs w:val="22"/>
                <w:highlight w:val="none"/>
                <w:shd w:fill="auto" w:val="clear"/>
              </w:rPr>
            </w:pPr>
            <w:r>
              <w:rPr>
                <w:rFonts w:eastAsia="Times New Roman" w:cs="Times New Roman" w:ascii="Times New Roman" w:hAnsi="Times New Roman"/>
                <w:bCs w:val="false"/>
                <w:iCs w:val="false"/>
                <w:color w:val="000000"/>
                <w:sz w:val="22"/>
                <w:szCs w:val="22"/>
                <w:shd w:fill="auto" w:val="clear"/>
                <w:lang w:eastAsia="ru-RU"/>
              </w:rPr>
              <w:t>0,0</w:t>
            </w:r>
          </w:p>
        </w:tc>
        <w:tc>
          <w:tcPr>
            <w:tcW w:w="1350" w:type="dxa"/>
            <w:vMerge w:val="continue"/>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bottom w:val="single" w:sz="4" w:space="0" w:color="000000"/>
              <w:right w:val="single" w:sz="4" w:space="0" w:color="000000"/>
            </w:tcBorders>
            <w:vAlign w:val="bottom"/>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342" w:hRule="atLeast"/>
        </w:trPr>
        <w:tc>
          <w:tcPr>
            <w:tcW w:w="509" w:type="dxa"/>
            <w:vMerge w:val="restart"/>
            <w:tcBorders>
              <w:top w:val="single" w:sz="4" w:space="0" w:color="000000"/>
              <w:left w:val="single" w:sz="4" w:space="0" w:color="000000"/>
              <w:bottom w:val="single" w:sz="4" w:space="0" w:color="000000"/>
            </w:tcBorders>
            <w:vAlign w:val="bottom"/>
          </w:tcPr>
          <w:p>
            <w:pPr>
              <w:pStyle w:val="Normal"/>
              <w:widowControl w:val="false"/>
              <w:suppressAutoHyphens w:val="true"/>
              <w:overflowPunct w:val="true"/>
              <w:bidi w:val="0"/>
              <w:spacing w:lineRule="auto" w:line="276" w:before="0" w:after="200"/>
              <w:ind w:left="-170" w:right="-113" w:hanging="0"/>
              <w:jc w:val="left"/>
              <w:rPr/>
            </w:pPr>
            <w:r>
              <w:rPr>
                <w:rFonts w:ascii="Tinos" w:hAnsi="Tinos"/>
                <w:shd w:fill="auto" w:val="clear"/>
              </w:rPr>
              <w:t xml:space="preserve">  </w:t>
            </w:r>
            <w:r>
              <w:rPr>
                <w:rFonts w:ascii="Tinos" w:hAnsi="Tinos"/>
                <w:shd w:fill="auto" w:val="clear"/>
              </w:rPr>
              <w:t>9.11</w:t>
            </w:r>
          </w:p>
        </w:tc>
        <w:tc>
          <w:tcPr>
            <w:tcW w:w="2748" w:type="dxa"/>
            <w:vMerge w:val="restart"/>
            <w:tcBorders>
              <w:top w:val="single" w:sz="4" w:space="0" w:color="000000"/>
              <w:left w:val="single" w:sz="4" w:space="0" w:color="000000"/>
              <w:bottom w:val="single" w:sz="4" w:space="0" w:color="000000"/>
            </w:tcBorders>
            <w:vAlign w:val="center"/>
          </w:tcPr>
          <w:p>
            <w:pPr>
              <w:pStyle w:val="Normal"/>
              <w:widowControl w:val="false"/>
              <w:spacing w:before="0" w:after="0"/>
              <w:jc w:val="left"/>
              <w:rPr>
                <w:highlight w:val="none"/>
                <w:shd w:fill="auto" w:val="clear"/>
              </w:rPr>
            </w:pPr>
            <w:r>
              <w:rPr>
                <w:rFonts w:ascii="Times New Roman" w:hAnsi="Times New Roman"/>
                <w:sz w:val="20"/>
                <w:shd w:fill="auto" w:val="clear"/>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1268"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Всего</w:t>
            </w:r>
          </w:p>
        </w:tc>
        <w:tc>
          <w:tcPr>
            <w:tcW w:w="1246"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highlight w:val="none"/>
                <w:shd w:fill="auto" w:val="clear"/>
              </w:rPr>
            </w:pPr>
            <w:r>
              <w:rPr>
                <w:rFonts w:ascii="Tinos" w:hAnsi="Tinos"/>
                <w:sz w:val="20"/>
                <w:szCs w:val="20"/>
                <w:shd w:fill="auto" w:val="clear"/>
              </w:rPr>
              <w:t>57 547,5</w:t>
            </w:r>
          </w:p>
        </w:tc>
        <w:tc>
          <w:tcPr>
            <w:tcW w:w="1369"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highlight w:val="none"/>
                <w:shd w:fill="auto" w:val="clear"/>
              </w:rPr>
            </w:pPr>
            <w:r>
              <w:rPr>
                <w:rFonts w:ascii="Tinos" w:hAnsi="Tinos"/>
                <w:sz w:val="20"/>
                <w:szCs w:val="20"/>
                <w:shd w:fill="auto" w:val="clear"/>
              </w:rPr>
              <w:t>57 547,5</w:t>
            </w:r>
          </w:p>
        </w:tc>
        <w:tc>
          <w:tcPr>
            <w:tcW w:w="1350" w:type="dxa"/>
            <w:vMerge w:val="restart"/>
            <w:tcBorders>
              <w:top w:val="single" w:sz="4" w:space="0" w:color="000000"/>
              <w:left w:val="single" w:sz="4" w:space="0" w:color="000000"/>
              <w:bottom w:val="single" w:sz="4" w:space="0" w:color="000000"/>
            </w:tcBorders>
            <w:vAlign w:val="center"/>
          </w:tcPr>
          <w:p>
            <w:pPr>
              <w:pStyle w:val="Normal"/>
              <w:widowControl w:val="false"/>
              <w:tabs>
                <w:tab w:val="clear" w:pos="708"/>
                <w:tab w:val="left" w:pos="960" w:leader="none"/>
              </w:tabs>
              <w:spacing w:lineRule="auto" w:line="240" w:before="0" w:after="0"/>
              <w:rPr>
                <w:sz w:val="20"/>
                <w:szCs w:val="20"/>
              </w:rPr>
            </w:pPr>
            <w:r>
              <w:rPr>
                <w:rFonts w:eastAsia="Times New Roman" w:cs="Times New Roman" w:ascii="Times New Roman" w:hAnsi="Times New Roman"/>
                <w:bCs w:val="false"/>
                <w:iCs w:val="false"/>
                <w:color w:val="000000"/>
                <w:sz w:val="20"/>
                <w:szCs w:val="20"/>
                <w:shd w:fill="auto" w:val="clear"/>
                <w:lang w:eastAsia="ru-RU"/>
              </w:rPr>
              <w:t>МКУ «ТУ ПМО»</w:t>
            </w:r>
          </w:p>
        </w:tc>
        <w:tc>
          <w:tcPr>
            <w:tcW w:w="193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lineRule="auto" w:line="276" w:before="0" w:after="0"/>
              <w:jc w:val="center"/>
              <w:rPr>
                <w:sz w:val="20"/>
                <w:szCs w:val="20"/>
              </w:rPr>
            </w:pPr>
            <w:r>
              <w:rPr>
                <w:rFonts w:ascii="Tinos" w:hAnsi="Tinos"/>
                <w:sz w:val="20"/>
                <w:szCs w:val="20"/>
                <w:shd w:fill="auto" w:val="clear"/>
              </w:rPr>
              <w:t>Текущий ремонт дорог  протяженностью 5,722 км</w:t>
            </w:r>
          </w:p>
        </w:tc>
      </w:tr>
      <w:tr>
        <w:trPr>
          <w:trHeight w:val="1080" w:hRule="atLeast"/>
        </w:trPr>
        <w:tc>
          <w:tcPr>
            <w:tcW w:w="509" w:type="dxa"/>
            <w:vMerge w:val="continue"/>
            <w:tcBorders>
              <w:left w:val="single" w:sz="4" w:space="0" w:color="000000"/>
              <w:bottom w:val="single" w:sz="4" w:space="0" w:color="000000"/>
            </w:tcBorders>
            <w:vAlign w:val="bottom"/>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left w:val="single" w:sz="4" w:space="0" w:color="000000"/>
              <w:bottom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left w:val="single" w:sz="4" w:space="0" w:color="000000"/>
              <w:bottom w:val="single" w:sz="4" w:space="0" w:color="000000"/>
            </w:tcBorders>
            <w:vAlign w:val="center"/>
          </w:tcPr>
          <w:p>
            <w:pPr>
              <w:pStyle w:val="Normal"/>
              <w:widowControl w:val="false"/>
              <w:spacing w:lineRule="auto" w:line="240" w:before="0" w:after="0"/>
              <w:jc w:val="center"/>
              <w:rPr>
                <w:highlight w:val="none"/>
                <w:shd w:fill="auto" w:val="clear"/>
              </w:rPr>
            </w:pPr>
            <w:r>
              <w:rPr>
                <w:rFonts w:ascii="Tinos" w:hAnsi="Tinos"/>
                <w:sz w:val="20"/>
                <w:szCs w:val="20"/>
                <w:shd w:fill="auto" w:val="clear"/>
              </w:rPr>
              <w:t>11 509,5</w:t>
            </w:r>
          </w:p>
        </w:tc>
        <w:tc>
          <w:tcPr>
            <w:tcW w:w="1369" w:type="dxa"/>
            <w:tcBorders>
              <w:left w:val="single" w:sz="4" w:space="0" w:color="000000"/>
              <w:bottom w:val="single" w:sz="4" w:space="0" w:color="000000"/>
            </w:tcBorders>
            <w:vAlign w:val="center"/>
          </w:tcPr>
          <w:p>
            <w:pPr>
              <w:pStyle w:val="Normal"/>
              <w:widowControl w:val="false"/>
              <w:spacing w:lineRule="auto" w:line="240" w:before="0" w:after="0"/>
              <w:jc w:val="center"/>
              <w:rPr>
                <w:highlight w:val="none"/>
                <w:shd w:fill="auto" w:val="clear"/>
              </w:rPr>
            </w:pPr>
            <w:r>
              <w:rPr>
                <w:rFonts w:ascii="Tinos" w:hAnsi="Tinos"/>
                <w:sz w:val="20"/>
                <w:szCs w:val="20"/>
                <w:shd w:fill="auto" w:val="clear"/>
              </w:rPr>
              <w:t>11 509,5</w:t>
            </w:r>
          </w:p>
        </w:tc>
        <w:tc>
          <w:tcPr>
            <w:tcW w:w="1350" w:type="dxa"/>
            <w:vMerge w:val="continue"/>
            <w:tcBorders>
              <w:left w:val="single" w:sz="4" w:space="0" w:color="000000"/>
              <w:bottom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left w:val="single" w:sz="4" w:space="0" w:color="000000"/>
              <w:bottom w:val="single" w:sz="4" w:space="0" w:color="000000"/>
              <w:right w:val="single" w:sz="4" w:space="0" w:color="000000"/>
            </w:tcBorders>
            <w:vAlign w:val="bottom"/>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1080" w:hRule="atLeast"/>
        </w:trPr>
        <w:tc>
          <w:tcPr>
            <w:tcW w:w="509" w:type="dxa"/>
            <w:vMerge w:val="continue"/>
            <w:tcBorders>
              <w:left w:val="single" w:sz="4" w:space="0" w:color="000000"/>
              <w:bottom w:val="single" w:sz="4" w:space="0" w:color="000000"/>
            </w:tcBorders>
            <w:vAlign w:val="bottom"/>
          </w:tcPr>
          <w:p>
            <w:pPr>
              <w:pStyle w:val="Normal"/>
              <w:widowControl w:val="false"/>
              <w:suppressAutoHyphens w:val="true"/>
              <w:overflowPunct w:val="true"/>
              <w:bidi w:val="0"/>
              <w:spacing w:lineRule="auto" w:line="276" w:before="0" w:after="200"/>
              <w:ind w:left="-170" w:right="-113" w:hanging="0"/>
              <w:jc w:val="left"/>
              <w:rPr>
                <w:highlight w:val="none"/>
                <w:shd w:fill="auto" w:val="clear"/>
              </w:rPr>
            </w:pPr>
            <w:r>
              <w:rPr>
                <w:shd w:fill="auto" w:val="clear"/>
              </w:rPr>
            </w:r>
          </w:p>
        </w:tc>
        <w:tc>
          <w:tcPr>
            <w:tcW w:w="2748" w:type="dxa"/>
            <w:vMerge w:val="continue"/>
            <w:tcBorders>
              <w:left w:val="single" w:sz="4" w:space="0" w:color="000000"/>
              <w:bottom w:val="single" w:sz="4" w:space="0" w:color="000000"/>
            </w:tcBorders>
            <w:vAlign w:val="center"/>
          </w:tcPr>
          <w:p>
            <w:pPr>
              <w:pStyle w:val="Normal"/>
              <w:widowControl w:val="false"/>
              <w:suppressAutoHyphens w:val="true"/>
              <w:overflowPunct w:val="true"/>
              <w:bidi w:val="0"/>
              <w:spacing w:lineRule="auto" w:line="276" w:before="0" w:after="200"/>
              <w:jc w:val="left"/>
              <w:rPr>
                <w:highlight w:val="none"/>
                <w:shd w:fill="auto" w:val="clear"/>
              </w:rPr>
            </w:pPr>
            <w:r>
              <w:rPr>
                <w:shd w:fill="auto" w:val="clear"/>
              </w:rPr>
            </w:r>
          </w:p>
        </w:tc>
        <w:tc>
          <w:tcPr>
            <w:tcW w:w="1268" w:type="dxa"/>
            <w:tcBorders>
              <w:left w:val="single" w:sz="4" w:space="0" w:color="000000"/>
              <w:bottom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в том числе</w:t>
            </w:r>
          </w:p>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областной бюджет</w:t>
            </w:r>
          </w:p>
        </w:tc>
        <w:tc>
          <w:tcPr>
            <w:tcW w:w="1246" w:type="dxa"/>
            <w:tcBorders>
              <w:left w:val="single" w:sz="4" w:space="0" w:color="000000"/>
              <w:bottom w:val="single" w:sz="4" w:space="0" w:color="000000"/>
            </w:tcBorders>
            <w:vAlign w:val="center"/>
          </w:tcPr>
          <w:p>
            <w:pPr>
              <w:pStyle w:val="Normal"/>
              <w:widowControl w:val="false"/>
              <w:spacing w:lineRule="auto" w:line="240" w:before="0" w:after="0"/>
              <w:jc w:val="center"/>
              <w:rPr>
                <w:highlight w:val="none"/>
                <w:shd w:fill="auto" w:val="clear"/>
              </w:rPr>
            </w:pPr>
            <w:r>
              <w:rPr>
                <w:rFonts w:ascii="Tinos" w:hAnsi="Tinos"/>
                <w:sz w:val="20"/>
                <w:szCs w:val="20"/>
                <w:shd w:fill="auto" w:val="clear"/>
              </w:rPr>
              <w:t>46 038,0</w:t>
            </w:r>
          </w:p>
        </w:tc>
        <w:tc>
          <w:tcPr>
            <w:tcW w:w="1369" w:type="dxa"/>
            <w:tcBorders>
              <w:left w:val="single" w:sz="4" w:space="0" w:color="000000"/>
              <w:bottom w:val="single" w:sz="4" w:space="0" w:color="000000"/>
            </w:tcBorders>
            <w:vAlign w:val="center"/>
          </w:tcPr>
          <w:p>
            <w:pPr>
              <w:pStyle w:val="Normal"/>
              <w:widowControl w:val="false"/>
              <w:spacing w:lineRule="auto" w:line="240" w:before="0" w:after="0"/>
              <w:jc w:val="center"/>
              <w:rPr>
                <w:highlight w:val="none"/>
                <w:shd w:fill="auto" w:val="clear"/>
              </w:rPr>
            </w:pPr>
            <w:r>
              <w:rPr>
                <w:rFonts w:ascii="Tinos" w:hAnsi="Tinos"/>
                <w:sz w:val="20"/>
                <w:szCs w:val="20"/>
                <w:shd w:fill="auto" w:val="clear"/>
              </w:rPr>
              <w:t>46 038,0</w:t>
            </w:r>
          </w:p>
        </w:tc>
        <w:tc>
          <w:tcPr>
            <w:tcW w:w="1350" w:type="dxa"/>
            <w:vMerge w:val="continue"/>
            <w:tcBorders>
              <w:left w:val="single" w:sz="4" w:space="0" w:color="000000"/>
              <w:bottom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c>
          <w:tcPr>
            <w:tcW w:w="1932" w:type="dxa"/>
            <w:vMerge w:val="continue"/>
            <w:tcBorders>
              <w:left w:val="single" w:sz="4" w:space="0" w:color="000000"/>
              <w:bottom w:val="single" w:sz="4" w:space="0" w:color="000000"/>
              <w:right w:val="single" w:sz="4" w:space="0" w:color="000000"/>
            </w:tcBorders>
            <w:vAlign w:val="bottom"/>
          </w:tcPr>
          <w:p>
            <w:pPr>
              <w:pStyle w:val="Normal"/>
              <w:widowControl w:val="false"/>
              <w:suppressAutoHyphens w:val="true"/>
              <w:overflowPunct w:val="true"/>
              <w:bidi w:val="0"/>
              <w:spacing w:lineRule="auto" w:line="276" w:before="0" w:after="200"/>
              <w:jc w:val="left"/>
              <w:rPr>
                <w:sz w:val="20"/>
                <w:szCs w:val="20"/>
                <w:highlight w:val="none"/>
                <w:shd w:fill="auto" w:val="clear"/>
              </w:rPr>
            </w:pPr>
            <w:r>
              <w:rPr>
                <w:sz w:val="20"/>
                <w:szCs w:val="20"/>
                <w:shd w:fill="auto" w:val="clear"/>
              </w:rPr>
            </w:r>
          </w:p>
        </w:tc>
      </w:tr>
      <w:tr>
        <w:trPr>
          <w:trHeight w:val="1440" w:hRule="atLeast"/>
        </w:trPr>
        <w:tc>
          <w:tcPr>
            <w:tcW w:w="509" w:type="dxa"/>
            <w:tcBorders>
              <w:left w:val="single" w:sz="4" w:space="0" w:color="000000"/>
              <w:bottom w:val="single" w:sz="4" w:space="0" w:color="000000"/>
              <w:right w:val="single" w:sz="4" w:space="0" w:color="000000"/>
            </w:tcBorders>
            <w:vAlign w:val="bottom"/>
          </w:tcPr>
          <w:p>
            <w:pPr>
              <w:pStyle w:val="Normal"/>
              <w:widowControl w:val="false"/>
              <w:overflowPunct w:val="true"/>
              <w:bidi w:val="0"/>
              <w:spacing w:lineRule="auto" w:line="240" w:before="0" w:after="0"/>
              <w:ind w:left="-170" w:right="-113" w:hanging="0"/>
              <w:jc w:val="center"/>
              <w:rPr/>
            </w:pPr>
            <w:r>
              <w:rPr>
                <w:rFonts w:eastAsia="Times New Roman" w:cs="Times New Roman" w:ascii="Times New Roman" w:hAnsi="Times New Roman"/>
                <w:bCs w:val="false"/>
                <w:iCs w:val="false"/>
                <w:color w:val="000000"/>
                <w:szCs w:val="24"/>
                <w:shd w:fill="auto" w:val="clear"/>
                <w:lang w:eastAsia="ru-RU"/>
              </w:rPr>
              <w:t>10</w:t>
            </w:r>
          </w:p>
        </w:tc>
        <w:tc>
          <w:tcPr>
            <w:tcW w:w="2748" w:type="dxa"/>
            <w:tcBorders>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Мероприятия по подготовке технической документации объектов недвижимости (дороги) для регистрации права</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Cs w:val="24"/>
                <w:shd w:fill="auto" w:val="clear"/>
                <w:lang w:eastAsia="ru-RU"/>
              </w:rPr>
              <w:t>0,0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113" w:right="-113" w:hanging="0"/>
              <w:jc w:val="center"/>
              <w:rPr>
                <w:sz w:val="20"/>
                <w:szCs w:val="20"/>
              </w:rPr>
            </w:pPr>
            <w:r>
              <w:rPr>
                <w:rFonts w:eastAsia="Times New Roman" w:cs="Times New Roman" w:ascii="Times New Roman" w:hAnsi="Times New Roman"/>
                <w:bCs w:val="false"/>
                <w:iCs w:val="false"/>
                <w:color w:val="000000"/>
                <w:sz w:val="20"/>
                <w:szCs w:val="20"/>
                <w:shd w:fill="auto" w:val="clear"/>
                <w:lang w:eastAsia="ru-RU"/>
              </w:rPr>
              <w:t>Комитет по управлению муниципальной собственностью Прокопьевского муниципального района</w:t>
            </w:r>
          </w:p>
        </w:tc>
        <w:tc>
          <w:tcPr>
            <w:tcW w:w="1932" w:type="dxa"/>
            <w:tcBorders>
              <w:bottom w:val="single" w:sz="4" w:space="0" w:color="000000"/>
              <w:right w:val="single" w:sz="4" w:space="0" w:color="000000"/>
            </w:tcBorders>
            <w:vAlign w:val="bottom"/>
          </w:tcPr>
          <w:p>
            <w:pPr>
              <w:pStyle w:val="Normal"/>
              <w:widowControl w:val="false"/>
              <w:spacing w:lineRule="auto" w:line="240" w:before="0" w:after="0"/>
              <w:rPr>
                <w:sz w:val="20"/>
                <w:szCs w:val="20"/>
              </w:rPr>
            </w:pPr>
            <w:r>
              <w:rPr>
                <w:rFonts w:eastAsia="Times New Roman" w:cs="Calibri"/>
                <w:bCs w:val="false"/>
                <w:iCs w:val="false"/>
                <w:color w:val="000000"/>
                <w:sz w:val="20"/>
                <w:szCs w:val="20"/>
                <w:shd w:fill="auto" w:val="clear"/>
                <w:lang w:eastAsia="ru-RU"/>
              </w:rPr>
              <w:t> </w:t>
            </w:r>
            <w:r>
              <w:rPr>
                <w:rFonts w:eastAsia="Times New Roman" w:cs="Times New Roman" w:ascii="Times New Roman" w:hAnsi="Times New Roman"/>
                <w:bCs w:val="false"/>
                <w:iCs w:val="false"/>
                <w:color w:val="000000"/>
                <w:sz w:val="20"/>
                <w:szCs w:val="20"/>
                <w:shd w:fill="auto" w:val="clear"/>
                <w:lang w:eastAsia="ru-RU"/>
              </w:rPr>
              <w:t>За 2025 год без денежных затрат</w:t>
            </w:r>
          </w:p>
          <w:p>
            <w:pPr>
              <w:pStyle w:val="Normal"/>
              <w:widowControl w:val="false"/>
              <w:spacing w:lineRule="auto" w:line="240" w:before="0" w:after="0"/>
              <w:rPr>
                <w:rFonts w:ascii="Calibri" w:hAnsi="Calibri" w:eastAsia="Times New Roman" w:cs="Calibri"/>
                <w:b w:val="false"/>
                <w:bCs w:val="false"/>
                <w:i w:val="false"/>
                <w:i w:val="false"/>
                <w:iCs w:val="false"/>
                <w:color w:val="000000"/>
                <w:sz w:val="20"/>
                <w:szCs w:val="20"/>
                <w:highlight w:val="none"/>
                <w:shd w:fill="auto" w:val="clear"/>
                <w:lang w:eastAsia="ru-RU"/>
              </w:rPr>
            </w:pPr>
            <w:r>
              <w:rPr>
                <w:rFonts w:eastAsia="Times New Roman" w:cs="Calibri"/>
                <w:b w:val="false"/>
                <w:bCs w:val="false"/>
                <w:i w:val="false"/>
                <w:iCs w:val="false"/>
                <w:color w:val="000000"/>
                <w:sz w:val="20"/>
                <w:szCs w:val="20"/>
                <w:shd w:fill="auto" w:val="clear"/>
                <w:lang w:eastAsia="ru-RU"/>
              </w:rPr>
            </w:r>
          </w:p>
        </w:tc>
      </w:tr>
      <w:tr>
        <w:trPr>
          <w:trHeight w:val="2865" w:hRule="atLeast"/>
        </w:trPr>
        <w:tc>
          <w:tcPr>
            <w:tcW w:w="509" w:type="dxa"/>
            <w:tcBorders>
              <w:left w:val="single" w:sz="4" w:space="0" w:color="000000"/>
              <w:bottom w:val="single" w:sz="4" w:space="0" w:color="000000"/>
              <w:right w:val="single" w:sz="4" w:space="0" w:color="000000"/>
            </w:tcBorders>
            <w:vAlign w:val="bottom"/>
          </w:tcPr>
          <w:p>
            <w:pPr>
              <w:pStyle w:val="Normal"/>
              <w:widowControl w:val="false"/>
              <w:overflowPunct w:val="true"/>
              <w:bidi w:val="0"/>
              <w:spacing w:lineRule="auto" w:line="240" w:before="1710" w:after="1710"/>
              <w:ind w:left="-170" w:right="-113" w:hanging="0"/>
              <w:jc w:val="center"/>
              <w:rPr/>
            </w:pPr>
            <w:r>
              <w:rPr>
                <w:rFonts w:eastAsia="Times New Roman" w:cs="Times New Roman" w:ascii="Times New Roman" w:hAnsi="Times New Roman"/>
                <w:bCs w:val="false"/>
                <w:iCs w:val="false"/>
                <w:color w:val="000000"/>
                <w:sz w:val="20"/>
                <w:szCs w:val="20"/>
                <w:shd w:fill="auto" w:val="clear"/>
                <w:lang w:eastAsia="ru-RU"/>
              </w:rPr>
              <w:t>11.</w:t>
            </w:r>
          </w:p>
        </w:tc>
        <w:tc>
          <w:tcPr>
            <w:tcW w:w="2748" w:type="dxa"/>
            <w:tcBorders>
              <w:bottom w:val="single" w:sz="4" w:space="0" w:color="000000"/>
              <w:right w:val="single" w:sz="4" w:space="0" w:color="000000"/>
            </w:tcBorders>
            <w:vAlign w:val="center"/>
          </w:tcPr>
          <w:p>
            <w:pPr>
              <w:pStyle w:val="Normal"/>
              <w:widowControl w:val="false"/>
              <w:spacing w:lineRule="auto" w:line="240" w:before="171" w:after="171"/>
              <w:rPr>
                <w:highlight w:val="none"/>
                <w:shd w:fill="auto" w:val="clear"/>
              </w:rPr>
            </w:pPr>
            <w:r>
              <w:rPr>
                <w:rFonts w:eastAsia="Times New Roman" w:cs="Times New Roman" w:ascii="Times New Roman" w:hAnsi="Times New Roman"/>
                <w:bCs w:val="false"/>
                <w:iCs w:val="false"/>
                <w:color w:val="000000"/>
                <w:sz w:val="20"/>
                <w:szCs w:val="20"/>
                <w:shd w:fill="auto" w:val="clear"/>
                <w:lang w:eastAsia="ru-RU"/>
              </w:rPr>
              <w:t>Выполнение работ по устройству и содержанию уличного освещения (ремонт уличного освещения, приобретение материалов, присоединение ТП)</w:t>
            </w:r>
          </w:p>
        </w:tc>
        <w:tc>
          <w:tcPr>
            <w:tcW w:w="1268" w:type="dxa"/>
            <w:tcBorders>
              <w:bottom w:val="single" w:sz="4" w:space="0" w:color="000000"/>
              <w:right w:val="single" w:sz="4" w:space="0" w:color="000000"/>
            </w:tcBorders>
            <w:vAlign w:val="center"/>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bCs w:val="false"/>
                <w:iCs w:val="false"/>
                <w:color w:val="000000"/>
                <w:sz w:val="20"/>
                <w:szCs w:val="20"/>
                <w:shd w:fill="auto" w:val="clear"/>
                <w:lang w:eastAsia="ru-RU"/>
              </w:rPr>
              <w:t>местный бюджет</w:t>
            </w:r>
          </w:p>
        </w:tc>
        <w:tc>
          <w:tcPr>
            <w:tcW w:w="1246" w:type="dxa"/>
            <w:tcBorders>
              <w:bottom w:val="single" w:sz="4" w:space="0" w:color="000000"/>
              <w:right w:val="single" w:sz="4" w:space="0" w:color="000000"/>
            </w:tcBorders>
            <w:vAlign w:val="center"/>
          </w:tcPr>
          <w:p>
            <w:pPr>
              <w:pStyle w:val="Normal"/>
              <w:widowControl w:val="false"/>
              <w:spacing w:lineRule="auto" w:line="240" w:before="0" w:after="0"/>
              <w:ind w:hanging="0"/>
              <w:jc w:val="both"/>
              <w:rPr>
                <w:highlight w:val="none"/>
                <w:shd w:fill="auto" w:val="clear"/>
              </w:rPr>
            </w:pPr>
            <w:r>
              <w:rPr>
                <w:rFonts w:eastAsia="Times New Roman" w:cs="Times New Roman" w:ascii="Times New Roman" w:hAnsi="Times New Roman"/>
                <w:color w:val="000000"/>
                <w:sz w:val="20"/>
                <w:szCs w:val="20"/>
                <w:shd w:fill="auto" w:val="clear"/>
                <w:lang w:eastAsia="ru-RU"/>
              </w:rPr>
              <w:t>38 245,0</w:t>
            </w:r>
          </w:p>
        </w:tc>
        <w:tc>
          <w:tcPr>
            <w:tcW w:w="1369" w:type="dxa"/>
            <w:tcBorders>
              <w:bottom w:val="single" w:sz="4" w:space="0" w:color="000000"/>
              <w:right w:val="single" w:sz="4" w:space="0" w:color="000000"/>
            </w:tcBorders>
            <w:vAlign w:val="center"/>
          </w:tcPr>
          <w:p>
            <w:pPr>
              <w:pStyle w:val="Normal"/>
              <w:widowControl w:val="false"/>
              <w:spacing w:lineRule="auto" w:line="240" w:before="0" w:after="0"/>
              <w:ind w:hanging="0"/>
              <w:jc w:val="both"/>
              <w:rPr>
                <w:highlight w:val="none"/>
                <w:shd w:fill="auto" w:val="clear"/>
              </w:rPr>
            </w:pPr>
            <w:r>
              <w:rPr>
                <w:rFonts w:eastAsia="Times New Roman" w:cs="Times New Roman" w:ascii="Times New Roman" w:hAnsi="Times New Roman"/>
                <w:color w:val="000000"/>
                <w:sz w:val="20"/>
                <w:szCs w:val="20"/>
                <w:shd w:fill="auto" w:val="clear"/>
                <w:lang w:eastAsia="ru-RU"/>
              </w:rPr>
              <w:t>38 245,0</w:t>
            </w:r>
          </w:p>
        </w:tc>
        <w:tc>
          <w:tcPr>
            <w:tcW w:w="1350" w:type="dxa"/>
            <w:tcBorders>
              <w:bottom w:val="single" w:sz="4" w:space="0" w:color="000000"/>
              <w:right w:val="single" w:sz="4" w:space="0" w:color="000000"/>
            </w:tcBorders>
            <w:vAlign w:val="center"/>
          </w:tcPr>
          <w:p>
            <w:pPr>
              <w:pStyle w:val="Normal"/>
              <w:widowControl w:val="false"/>
              <w:tabs>
                <w:tab w:val="clear" w:pos="708"/>
                <w:tab w:val="left" w:pos="960" w:leader="none"/>
              </w:tabs>
              <w:suppressAutoHyphens w:val="true"/>
              <w:overflowPunct w:val="true"/>
              <w:bidi w:val="0"/>
              <w:spacing w:lineRule="auto" w:line="240" w:before="0" w:after="0"/>
              <w:ind w:left="-57" w:right="-113" w:hanging="0"/>
              <w:jc w:val="center"/>
              <w:rPr>
                <w:sz w:val="20"/>
                <w:szCs w:val="20"/>
              </w:rPr>
            </w:pPr>
            <w:r>
              <w:rPr>
                <w:rFonts w:eastAsia="Times New Roman" w:cs="Times New Roman" w:ascii="Times New Roman" w:hAnsi="Times New Roman"/>
                <w:bCs w:val="false"/>
                <w:iCs w:val="false"/>
                <w:color w:val="000000"/>
                <w:sz w:val="20"/>
                <w:szCs w:val="20"/>
                <w:shd w:fill="auto" w:val="clear"/>
                <w:lang w:eastAsia="ru-RU"/>
              </w:rPr>
              <w:t>Территориальное управление администрации Прокопьевского муниципального округа</w:t>
            </w:r>
          </w:p>
        </w:tc>
        <w:tc>
          <w:tcPr>
            <w:tcW w:w="1932" w:type="dxa"/>
            <w:tcBorders>
              <w:bottom w:val="single" w:sz="4" w:space="0" w:color="000000"/>
              <w:right w:val="single" w:sz="4" w:space="0" w:color="000000"/>
            </w:tcBorders>
            <w:vAlign w:val="bottom"/>
          </w:tcPr>
          <w:p>
            <w:pPr>
              <w:pStyle w:val="Normal"/>
              <w:widowControl w:val="false"/>
              <w:suppressAutoHyphens w:val="true"/>
              <w:overflowPunct w:val="true"/>
              <w:bidi w:val="0"/>
              <w:spacing w:lineRule="auto" w:line="240" w:before="0" w:after="0"/>
              <w:ind w:left="-113" w:right="-57" w:hanging="0"/>
              <w:jc w:val="both"/>
              <w:rPr>
                <w:sz w:val="20"/>
                <w:szCs w:val="20"/>
              </w:rPr>
            </w:pPr>
            <w:r>
              <w:rPr>
                <w:rFonts w:eastAsia="Times New Roman" w:cs="Times New Roman" w:ascii="Times New Roman" w:hAnsi="Times New Roman"/>
                <w:bCs w:val="false"/>
                <w:iCs w:val="false"/>
                <w:color w:val="000000"/>
                <w:sz w:val="20"/>
                <w:szCs w:val="20"/>
                <w:shd w:fill="auto" w:val="clear"/>
                <w:lang w:eastAsia="ru-RU"/>
              </w:rPr>
              <w:t>Выполнение работ по устройству и содержанию уличного освещения на сумму 38 245,90 тыс. рублей (ремонт уличного освещения, приобретение материалов, присоединение ТП) (оплата за эл.энергию уличное освещение ПМО и приобретение материалов для установки уличного освещения (приобретены светодиодные светильники 250 шт. и провод)</w:t>
            </w:r>
          </w:p>
        </w:tc>
      </w:tr>
    </w:tbl>
    <w:p>
      <w:pPr>
        <w:pStyle w:val="Normal"/>
        <w:widowControl w:val="false"/>
        <w:rPr>
          <w:highlight w:val="none"/>
          <w:shd w:fill="auto" w:val="clear"/>
        </w:rPr>
      </w:pPr>
      <w:r>
        <w:rPr>
          <w:shd w:fill="auto" w:val="clear"/>
        </w:rPr>
      </w:r>
    </w:p>
    <w:p>
      <w:pPr>
        <w:sectPr>
          <w:type w:val="nextPage"/>
          <w:pgSz w:w="11906" w:h="16838"/>
          <w:pgMar w:left="1134" w:right="1134" w:gutter="0" w:header="0" w:top="426" w:footer="0" w:bottom="850"/>
          <w:pgNumType w:fmt="decimal"/>
          <w:formProt w:val="false"/>
          <w:textDirection w:val="lrTb"/>
          <w:docGrid w:type="default" w:linePitch="360" w:charSpace="4096"/>
        </w:sectPr>
        <w:pStyle w:val="Normal"/>
        <w:widowControl w:val="false"/>
        <w:rPr>
          <w:highlight w:val="none"/>
          <w:shd w:fill="auto" w:val="clear"/>
        </w:rPr>
      </w:pPr>
      <w:r>
        <w:rPr>
          <w:rFonts w:cs="Times New Roman" w:ascii="Times New Roman" w:hAnsi="Times New Roman"/>
          <w:sz w:val="28"/>
          <w:szCs w:val="28"/>
          <w:shd w:fill="auto" w:val="clear"/>
        </w:rPr>
        <w:t>Директор муниципальной программы                                          О.В. Пушкарева</w:t>
      </w:r>
    </w:p>
    <w:p>
      <w:pPr>
        <w:pStyle w:val="Normal"/>
        <w:shd w:val="clear" w:fill="FFFFFF"/>
        <w:spacing w:lineRule="auto" w:line="240" w:before="0" w:after="0"/>
        <w:jc w:val="center"/>
        <w:rPr>
          <w:highlight w:val="none"/>
          <w:shd w:fill="auto" w:val="clear"/>
        </w:rPr>
      </w:pPr>
      <w:r>
        <w:rPr>
          <w:rFonts w:eastAsia="Times New Roman" w:cs="Times New Roman" w:ascii="Times New Roman" w:hAnsi="Times New Roman"/>
          <w:b/>
          <w:sz w:val="24"/>
          <w:szCs w:val="24"/>
          <w:shd w:fill="auto" w:val="clear"/>
          <w:lang w:eastAsia="ru-RU"/>
        </w:rPr>
        <w:t>Оценка эффективности муниципальной программы</w:t>
      </w:r>
    </w:p>
    <w:p>
      <w:pPr>
        <w:pStyle w:val="Normal"/>
        <w:widowControl w:val="false"/>
        <w:shd w:val="clear" w:fill="FFFFFF"/>
        <w:spacing w:lineRule="auto" w:line="240" w:before="0" w:after="0"/>
        <w:jc w:val="center"/>
        <w:rPr>
          <w:highlight w:val="none"/>
          <w:shd w:fill="auto" w:val="clear"/>
        </w:rPr>
      </w:pPr>
      <w:r>
        <w:rPr>
          <w:rFonts w:cs="Times New Roman" w:ascii="Times New Roman" w:hAnsi="Times New Roman"/>
          <w:b/>
          <w:bCs/>
          <w:sz w:val="24"/>
          <w:szCs w:val="24"/>
          <w:shd w:fill="auto" w:val="clear"/>
        </w:rPr>
        <w:t>«Безопасность дорожного движения в Прокопьевском муниципальном округе» на 2018-2027годы</w:t>
      </w:r>
    </w:p>
    <w:p>
      <w:pPr>
        <w:pStyle w:val="Normal"/>
        <w:shd w:val="clear" w:fill="FFFFFF"/>
        <w:jc w:val="center"/>
        <w:rPr>
          <w:highlight w:val="none"/>
          <w:shd w:fill="auto" w:val="clear"/>
        </w:rPr>
      </w:pPr>
      <w:r>
        <w:rPr>
          <w:rFonts w:cs="Times New Roman" w:ascii="Times New Roman" w:hAnsi="Times New Roman"/>
          <w:b/>
          <w:sz w:val="24"/>
          <w:szCs w:val="24"/>
          <w:shd w:fill="auto" w:val="clear"/>
        </w:rPr>
        <w:t>за 2025  год</w:t>
      </w:r>
    </w:p>
    <w:p>
      <w:pPr>
        <w:pStyle w:val="NormalWeb"/>
        <w:spacing w:before="0" w:after="0"/>
        <w:jc w:val="center"/>
        <w:rPr>
          <w:highlight w:val="none"/>
          <w:shd w:fill="auto" w:val="clear"/>
        </w:rPr>
      </w:pPr>
      <w:r>
        <w:rPr>
          <w:color w:val="000000"/>
          <w:shd w:fill="auto" w:val="clear"/>
        </w:rPr>
        <w:t> </w:t>
      </w:r>
    </w:p>
    <w:p>
      <w:pPr>
        <w:pStyle w:val="NormalWeb"/>
        <w:spacing w:before="75" w:after="75"/>
        <w:ind w:firstLine="851"/>
        <w:jc w:val="both"/>
        <w:rPr>
          <w:highlight w:val="none"/>
          <w:shd w:fill="auto" w:val="clear"/>
        </w:rPr>
      </w:pPr>
      <w:r>
        <w:rPr>
          <w:color w:val="000000"/>
          <w:shd w:fill="auto" w:val="clear"/>
        </w:rPr>
        <w:t>Оценка эффективности осуществляется по следующим критериям:</w:t>
      </w:r>
    </w:p>
    <w:p>
      <w:pPr>
        <w:pStyle w:val="NormalWeb"/>
        <w:spacing w:before="75" w:after="75"/>
        <w:ind w:firstLine="851"/>
        <w:jc w:val="both"/>
        <w:rPr>
          <w:highlight w:val="none"/>
          <w:shd w:fill="auto" w:val="clear"/>
        </w:rPr>
      </w:pPr>
      <w:r>
        <w:rPr>
          <w:color w:val="000000"/>
          <w:shd w:fill="auto" w:val="clear"/>
        </w:rPr>
        <w:t>1. Степень достижения за 2025 год запланированных значений целевых индикаторов и показателей</w:t>
      </w:r>
      <w:r>
        <w:rPr>
          <w:shd w:fill="auto" w:val="clear"/>
        </w:rPr>
        <w:t xml:space="preserve"> на автомобильных дорогах местного значения в границах Прокопьевского муниципального округа</w:t>
      </w:r>
      <w:r>
        <w:rPr>
          <w:color w:val="000000"/>
          <w:shd w:fill="auto" w:val="clear"/>
        </w:rPr>
        <w:t>.</w:t>
      </w:r>
    </w:p>
    <w:p>
      <w:pPr>
        <w:pStyle w:val="NormalWeb"/>
        <w:spacing w:before="75" w:after="75"/>
        <w:ind w:firstLine="851"/>
        <w:jc w:val="both"/>
        <w:rPr>
          <w:highlight w:val="none"/>
          <w:shd w:fill="auto" w:val="clear"/>
        </w:rPr>
      </w:pPr>
      <w:r>
        <w:rPr>
          <w:color w:val="000000"/>
          <w:shd w:fill="auto" w:val="clear"/>
        </w:rPr>
        <w:t>Оценка достижения запланированных результатов по каждому расчетному и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w:t>
      </w:r>
    </w:p>
    <w:p>
      <w:pPr>
        <w:pStyle w:val="NormalWeb"/>
        <w:spacing w:before="75" w:after="75"/>
        <w:ind w:firstLine="851"/>
        <w:jc w:val="both"/>
        <w:rPr>
          <w:highlight w:val="none"/>
          <w:shd w:fill="auto" w:val="clear"/>
        </w:rPr>
      </w:pPr>
      <w:r>
        <w:rPr>
          <w:color w:val="000000"/>
          <w:shd w:fill="auto" w:val="clear"/>
        </w:rPr>
        <w:t>                                 </w:t>
      </w:r>
      <w:r>
        <w:rPr>
          <w:color w:val="000000"/>
          <w:shd w:fill="auto" w:val="clear"/>
        </w:rPr>
        <w:t>Ф x 100%</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И = --------------,</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П</w:t>
      </w:r>
    </w:p>
    <w:p>
      <w:pPr>
        <w:pStyle w:val="NormalWeb"/>
        <w:spacing w:before="75" w:after="75"/>
        <w:ind w:firstLine="851"/>
        <w:jc w:val="both"/>
        <w:rPr>
          <w:highlight w:val="none"/>
          <w:shd w:fill="auto" w:val="clear"/>
        </w:rPr>
      </w:pPr>
      <w:r>
        <w:rPr>
          <w:color w:val="000000"/>
          <w:shd w:fill="auto" w:val="clear"/>
        </w:rPr>
        <w:t>где:</w:t>
      </w:r>
    </w:p>
    <w:p>
      <w:pPr>
        <w:pStyle w:val="NormalWeb"/>
        <w:spacing w:before="75" w:after="75"/>
        <w:ind w:firstLine="851"/>
        <w:jc w:val="both"/>
        <w:rPr>
          <w:highlight w:val="none"/>
          <w:shd w:fill="auto" w:val="clear"/>
        </w:rPr>
      </w:pPr>
      <w:r>
        <w:rPr>
          <w:color w:val="000000"/>
          <w:shd w:fill="auto" w:val="clear"/>
        </w:rPr>
        <w:t>И - оценка достижения запланированных результатов;</w:t>
      </w:r>
    </w:p>
    <w:p>
      <w:pPr>
        <w:pStyle w:val="NormalWeb"/>
        <w:spacing w:before="75" w:after="75"/>
        <w:ind w:firstLine="851"/>
        <w:jc w:val="both"/>
        <w:rPr>
          <w:highlight w:val="none"/>
          <w:shd w:fill="auto" w:val="clear"/>
        </w:rPr>
      </w:pPr>
      <w:r>
        <w:rPr>
          <w:color w:val="000000"/>
          <w:shd w:fill="auto" w:val="clear"/>
        </w:rPr>
        <w:t>Ф - фактически достигнутые значения целевых индикаторов;</w:t>
      </w:r>
    </w:p>
    <w:p>
      <w:pPr>
        <w:pStyle w:val="NormalWeb"/>
        <w:spacing w:before="75" w:after="75"/>
        <w:ind w:firstLine="851"/>
        <w:jc w:val="both"/>
        <w:rPr>
          <w:highlight w:val="none"/>
          <w:shd w:fill="auto" w:val="clear"/>
        </w:rPr>
      </w:pPr>
      <w:r>
        <w:rPr>
          <w:color w:val="000000"/>
          <w:shd w:fill="auto" w:val="clear"/>
        </w:rPr>
        <w:t>П - плановые значения.</w:t>
      </w:r>
    </w:p>
    <w:p>
      <w:pPr>
        <w:pStyle w:val="NormalWeb"/>
        <w:spacing w:before="75" w:after="75"/>
        <w:ind w:firstLine="851"/>
        <w:jc w:val="both"/>
        <w:rPr>
          <w:highlight w:val="none"/>
          <w:shd w:fill="auto" w:val="clear"/>
        </w:rPr>
      </w:pPr>
      <w:r>
        <w:rPr>
          <w:shd w:fill="auto" w:val="clear"/>
        </w:rPr>
        <w:t>- Количество детей, пострадавших в результате дорожно-транспортных происшествий</w:t>
      </w:r>
      <w:r>
        <w:rPr>
          <w:color w:val="000000"/>
          <w:shd w:fill="auto" w:val="clear"/>
        </w:rPr>
        <w:t xml:space="preserve"> </w:t>
      </w:r>
      <w:r>
        <w:rPr>
          <w:shd w:fill="auto" w:val="clear"/>
        </w:rPr>
        <w:t>на автомобильных дорогах местного значения населенных пунктах Прокопьевского муниципального округа составило 4 человека, что выше планового значения на одного:</w:t>
      </w:r>
    </w:p>
    <w:p>
      <w:pPr>
        <w:pStyle w:val="NormalWeb"/>
        <w:spacing w:before="75" w:after="75"/>
        <w:ind w:firstLine="851"/>
        <w:jc w:val="both"/>
        <w:rPr>
          <w:color w:val="000000"/>
          <w:highlight w:val="none"/>
          <w:shd w:fill="auto" w:val="clear"/>
        </w:rPr>
      </w:pPr>
      <w:r>
        <w:rPr>
          <w:color w:val="000000"/>
          <w:shd w:fill="auto" w:val="clear"/>
        </w:rPr>
      </w:r>
    </w:p>
    <w:p>
      <w:pPr>
        <w:pStyle w:val="NormalWeb"/>
        <w:spacing w:before="75" w:after="75"/>
        <w:ind w:firstLine="851"/>
        <w:jc w:val="both"/>
        <w:rPr>
          <w:highlight w:val="none"/>
          <w:shd w:fill="auto" w:val="clear"/>
        </w:rPr>
      </w:pPr>
      <w:r>
        <w:rPr>
          <w:color w:val="000000"/>
          <w:shd w:fill="auto" w:val="clear"/>
        </w:rPr>
        <w:t>                                    </w:t>
      </w:r>
      <w:r>
        <w:rPr>
          <w:color w:val="000000"/>
          <w:shd w:fill="auto" w:val="clear"/>
        </w:rPr>
        <w:t>4 х 100%</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И = -------------- = 80 %,</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5</w:t>
      </w:r>
    </w:p>
    <w:p>
      <w:pPr>
        <w:pStyle w:val="NormalWeb"/>
        <w:spacing w:before="75" w:after="75"/>
        <w:ind w:firstLine="851"/>
        <w:jc w:val="both"/>
        <w:rPr>
          <w:highlight w:val="none"/>
          <w:shd w:fill="auto" w:val="clear"/>
        </w:rPr>
      </w:pPr>
      <w:r>
        <w:rPr>
          <w:color w:val="000000"/>
          <w:shd w:fill="auto" w:val="clear"/>
        </w:rPr>
        <w:t>Оценка достижения запланированных результатов составило 80 %, следовательно, фактический показатель снизился на  60 %.</w:t>
      </w:r>
    </w:p>
    <w:p>
      <w:pPr>
        <w:pStyle w:val="NormalWeb"/>
        <w:spacing w:before="75" w:after="75"/>
        <w:ind w:firstLine="851"/>
        <w:jc w:val="both"/>
        <w:rPr>
          <w:highlight w:val="none"/>
          <w:shd w:fill="auto" w:val="clear"/>
        </w:rPr>
      </w:pPr>
      <w:r>
        <w:rPr>
          <w:shd w:fill="auto" w:val="clear"/>
        </w:rPr>
        <w:t>- Количество лиц, пострадавших в результате дорожно-транспортных происшествий на автомобильных дорогах местного значения Прокопьевского муниципального округа</w:t>
      </w:r>
    </w:p>
    <w:p>
      <w:pPr>
        <w:pStyle w:val="NormalWeb"/>
        <w:spacing w:before="75" w:after="75"/>
        <w:ind w:firstLine="851"/>
        <w:jc w:val="both"/>
        <w:rPr>
          <w:highlight w:val="none"/>
          <w:shd w:fill="auto" w:val="clear"/>
        </w:rPr>
      </w:pPr>
      <w:r>
        <w:rPr>
          <w:color w:val="000000"/>
          <w:shd w:fill="auto" w:val="clear"/>
        </w:rPr>
        <w:t>                                     </w:t>
      </w:r>
      <w:r>
        <w:rPr>
          <w:color w:val="000000"/>
          <w:shd w:fill="auto" w:val="clear"/>
        </w:rPr>
        <w:t>13 х 100%</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И = -------------- = 100 %,</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13</w:t>
      </w:r>
    </w:p>
    <w:p>
      <w:pPr>
        <w:pStyle w:val="NormalWeb"/>
        <w:spacing w:before="75" w:after="75"/>
        <w:ind w:firstLine="851"/>
        <w:jc w:val="both"/>
        <w:rPr>
          <w:highlight w:val="none"/>
          <w:shd w:fill="auto" w:val="clear"/>
        </w:rPr>
      </w:pPr>
      <w:r>
        <w:rPr>
          <w:shd w:fill="auto" w:val="clear"/>
        </w:rPr>
        <w:t>Количество лиц, погибших в результате дорожно-транспортных происшествий на автомобильных дорогах местного значения Прокопьевского муниципального округа за 2025 год - :</w:t>
      </w:r>
      <w:r>
        <w:rPr>
          <w:color w:val="000000"/>
          <w:shd w:fill="auto" w:val="clear"/>
        </w:rPr>
        <w:t>                              </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1 х 100%</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И = -------------- = 100 %,</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1</w:t>
      </w:r>
    </w:p>
    <w:p>
      <w:pPr>
        <w:pStyle w:val="NormalWeb"/>
        <w:spacing w:before="75" w:after="75"/>
        <w:ind w:firstLine="851"/>
        <w:jc w:val="both"/>
        <w:rPr>
          <w:highlight w:val="none"/>
          <w:shd w:fill="auto" w:val="clear"/>
        </w:rPr>
      </w:pPr>
      <w:r>
        <w:rPr>
          <w:shd w:fill="auto" w:val="clear"/>
        </w:rPr>
        <w:t>Тяжесть последствий дорожно-транспортных происшествий</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1 х 100%</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И = -------------- = 7,7  %,</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7,7</w:t>
      </w:r>
    </w:p>
    <w:p>
      <w:pPr>
        <w:pStyle w:val="NormalWeb"/>
        <w:spacing w:before="75" w:after="75"/>
        <w:ind w:firstLine="851"/>
        <w:jc w:val="both"/>
        <w:rPr>
          <w:highlight w:val="none"/>
          <w:shd w:fill="auto" w:val="clear"/>
        </w:rPr>
      </w:pPr>
      <w:r>
        <w:rPr>
          <w:color w:val="000000"/>
          <w:shd w:fill="auto" w:val="clear"/>
        </w:rPr>
        <w:t>Показатель</w:t>
      </w:r>
      <w:r>
        <w:rPr>
          <w:shd w:fill="auto" w:val="clear"/>
        </w:rPr>
        <w:t xml:space="preserve"> тяжесть последствий дорожно-транспортных происшествий</w:t>
      </w:r>
    </w:p>
    <w:p>
      <w:pPr>
        <w:pStyle w:val="NormalWeb"/>
        <w:spacing w:before="75" w:after="75"/>
        <w:jc w:val="both"/>
        <w:rPr>
          <w:highlight w:val="none"/>
          <w:shd w:fill="auto" w:val="clear"/>
        </w:rPr>
      </w:pPr>
      <w:r>
        <w:rPr>
          <w:color w:val="000000"/>
          <w:shd w:fill="auto" w:val="clear"/>
        </w:rPr>
        <w:t>соответствует значению – 0, по сравнению с плановым значением данный показатель перевыполнен</w:t>
      </w:r>
      <w:r>
        <w:rPr>
          <w:shd w:fill="auto" w:val="clear"/>
        </w:rPr>
        <w:t xml:space="preserve"> на 7,7 количества лиц погибших в результате ДТП на 100 пострадавших.</w:t>
      </w:r>
    </w:p>
    <w:p>
      <w:pPr>
        <w:pStyle w:val="NormalWeb"/>
        <w:spacing w:before="75" w:after="75"/>
        <w:ind w:firstLine="851"/>
        <w:jc w:val="both"/>
        <w:rPr>
          <w:highlight w:val="none"/>
          <w:shd w:fill="auto" w:val="clear"/>
        </w:rPr>
      </w:pPr>
      <w:r>
        <w:rPr>
          <w:shd w:fill="auto" w:val="clear"/>
        </w:rPr>
        <w:t xml:space="preserve"> </w:t>
      </w:r>
      <w:r>
        <w:rPr>
          <w:shd w:fill="auto" w:val="clear"/>
        </w:rPr>
        <w:t>(за 2022 год составил 1/5*100= 20).</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Степень выполнения мероприятий Программы.</w:t>
      </w:r>
    </w:p>
    <w:p>
      <w:pPr>
        <w:pStyle w:val="NormalWeb"/>
        <w:spacing w:before="75" w:after="75"/>
        <w:ind w:firstLine="851"/>
        <w:jc w:val="both"/>
        <w:rPr>
          <w:highlight w:val="none"/>
          <w:shd w:fill="auto" w:val="clear"/>
        </w:rPr>
      </w:pPr>
      <w:r>
        <w:rPr>
          <w:color w:val="000000"/>
          <w:shd w:fill="auto" w:val="clear"/>
        </w:rPr>
        <w:t>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Мф x 100%</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Ми = --------------,</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Мп</w:t>
      </w:r>
    </w:p>
    <w:p>
      <w:pPr>
        <w:pStyle w:val="NormalWeb"/>
        <w:spacing w:before="75" w:after="75"/>
        <w:ind w:firstLine="851"/>
        <w:jc w:val="both"/>
        <w:rPr>
          <w:highlight w:val="none"/>
          <w:shd w:fill="auto" w:val="clear"/>
        </w:rPr>
      </w:pPr>
      <w:r>
        <w:rPr>
          <w:color w:val="000000"/>
          <w:shd w:fill="auto" w:val="clear"/>
        </w:rPr>
        <w:t>где:</w:t>
      </w:r>
    </w:p>
    <w:p>
      <w:pPr>
        <w:pStyle w:val="NormalWeb"/>
        <w:spacing w:before="75" w:after="75"/>
        <w:ind w:firstLine="851"/>
        <w:jc w:val="both"/>
        <w:rPr>
          <w:highlight w:val="none"/>
          <w:shd w:fill="auto" w:val="clear"/>
        </w:rPr>
      </w:pPr>
      <w:r>
        <w:rPr>
          <w:color w:val="000000"/>
          <w:shd w:fill="auto" w:val="clear"/>
        </w:rPr>
        <w:t>Ми - степень выполнения мероприятий Программы;</w:t>
      </w:r>
    </w:p>
    <w:p>
      <w:pPr>
        <w:pStyle w:val="NormalWeb"/>
        <w:spacing w:before="75" w:after="75"/>
        <w:ind w:firstLine="851"/>
        <w:jc w:val="both"/>
        <w:rPr>
          <w:highlight w:val="none"/>
          <w:shd w:fill="auto" w:val="clear"/>
        </w:rPr>
      </w:pPr>
      <w:r>
        <w:rPr>
          <w:color w:val="000000"/>
          <w:shd w:fill="auto" w:val="clear"/>
        </w:rPr>
        <w:t>Мф - количество мероприятий Программы, фактически реализованных за отчетный период - 8;</w:t>
      </w:r>
    </w:p>
    <w:p>
      <w:pPr>
        <w:pStyle w:val="NormalWeb"/>
        <w:spacing w:before="75" w:after="75"/>
        <w:ind w:firstLine="851"/>
        <w:jc w:val="both"/>
        <w:rPr>
          <w:highlight w:val="none"/>
          <w:shd w:fill="auto" w:val="clear"/>
        </w:rPr>
      </w:pPr>
      <w:r>
        <w:rPr>
          <w:color w:val="000000"/>
          <w:shd w:fill="auto" w:val="clear"/>
        </w:rPr>
        <w:t>Мп - количество мероприятий Программы, запланированных на отчетный период - 8</w:t>
      </w:r>
      <w:r>
        <w:rPr>
          <w:color w:val="FF0000"/>
          <w:shd w:fill="auto" w:val="clear"/>
        </w:rPr>
        <w:t>.</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8 x 100%</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Ми = -------------- = 100%,</w:t>
      </w:r>
    </w:p>
    <w:p>
      <w:pPr>
        <w:pStyle w:val="NormalWeb"/>
        <w:spacing w:before="75" w:after="75"/>
        <w:ind w:firstLine="851"/>
        <w:jc w:val="both"/>
        <w:rPr>
          <w:highlight w:val="none"/>
          <w:shd w:fill="auto" w:val="clear"/>
        </w:rPr>
      </w:pPr>
      <w:r>
        <w:rPr>
          <w:color w:val="000000"/>
          <w:shd w:fill="auto" w:val="clear"/>
        </w:rPr>
        <w:t xml:space="preserve">                                            </w:t>
      </w:r>
      <w:r>
        <w:rPr>
          <w:color w:val="000000"/>
          <w:shd w:fill="auto" w:val="clear"/>
        </w:rPr>
        <w:t>8</w:t>
      </w:r>
    </w:p>
    <w:p>
      <w:pPr>
        <w:pStyle w:val="NormalWeb"/>
        <w:spacing w:before="75" w:after="75"/>
        <w:ind w:firstLine="851"/>
        <w:jc w:val="both"/>
        <w:rPr>
          <w:highlight w:val="none"/>
          <w:shd w:fill="auto" w:val="clear"/>
        </w:rPr>
      </w:pPr>
      <w:r>
        <w:rPr>
          <w:color w:val="000000"/>
          <w:shd w:fill="auto" w:val="clear"/>
        </w:rPr>
        <w:t>На основе проведенной оценки эффективности реализации Программы могут быть сделаны следующие выводы:</w:t>
      </w:r>
    </w:p>
    <w:p>
      <w:pPr>
        <w:pStyle w:val="NormalWeb"/>
        <w:spacing w:before="75" w:after="75"/>
        <w:ind w:firstLine="851"/>
        <w:jc w:val="both"/>
        <w:rPr>
          <w:highlight w:val="none"/>
          <w:shd w:fill="auto" w:val="clear"/>
        </w:rPr>
      </w:pPr>
      <w:r>
        <w:rPr>
          <w:shd w:fill="auto" w:val="clear"/>
        </w:rPr>
        <w:t>эффективность реализации выполнения мероприятий Программы выполнена на 100 %.</w:t>
      </w:r>
    </w:p>
    <w:p>
      <w:pPr>
        <w:pStyle w:val="NormalWeb"/>
        <w:spacing w:before="75" w:after="75"/>
        <w:ind w:firstLine="851"/>
        <w:jc w:val="both"/>
        <w:rPr>
          <w:highlight w:val="none"/>
          <w:shd w:fill="auto" w:val="clear"/>
        </w:rPr>
      </w:pPr>
      <w:r>
        <w:rPr>
          <w:shd w:fill="auto" w:val="clear"/>
        </w:rPr>
      </w:r>
    </w:p>
    <w:p>
      <w:pPr>
        <w:pStyle w:val="NormalWeb"/>
        <w:spacing w:before="75" w:after="75"/>
        <w:ind w:firstLine="851"/>
        <w:jc w:val="both"/>
        <w:rPr>
          <w:color w:val="000000"/>
          <w:highlight w:val="none"/>
          <w:shd w:fill="auto" w:val="clear"/>
        </w:rPr>
      </w:pPr>
      <w:r>
        <w:rPr>
          <w:color w:val="000000"/>
          <w:shd w:fill="auto" w:val="clear"/>
        </w:rPr>
      </w:r>
    </w:p>
    <w:p>
      <w:pPr>
        <w:pStyle w:val="Normal"/>
        <w:widowControl w:val="false"/>
        <w:rPr>
          <w:highlight w:val="none"/>
          <w:shd w:fill="auto" w:val="clear"/>
        </w:rPr>
      </w:pPr>
      <w:r>
        <w:rPr>
          <w:rFonts w:cs="Times New Roman" w:ascii="Times New Roman" w:hAnsi="Times New Roman"/>
          <w:sz w:val="24"/>
          <w:szCs w:val="24"/>
          <w:shd w:fill="auto" w:val="clear"/>
        </w:rPr>
        <w:t>Директор муниципальной программы                                                                      О.В. Пушкарева</w:t>
      </w:r>
    </w:p>
    <w:p>
      <w:pPr>
        <w:pStyle w:val="Normal"/>
        <w:jc w:val="center"/>
        <w:rPr>
          <w:rFonts w:ascii="Times New Roman" w:hAnsi="Times New Roman" w:eastAsia="Times New Roman" w:cs="Times New Roman"/>
          <w:b/>
          <w:sz w:val="28"/>
          <w:szCs w:val="28"/>
          <w:highlight w:val="none"/>
          <w:shd w:fill="auto" w:val="clear"/>
          <w:lang w:eastAsia="ru-RU"/>
        </w:rPr>
      </w:pPr>
      <w:r>
        <w:rPr>
          <w:rFonts w:eastAsia="Times New Roman" w:cs="Times New Roman" w:ascii="Times New Roman" w:hAnsi="Times New Roman"/>
          <w:b/>
          <w:sz w:val="28"/>
          <w:szCs w:val="28"/>
          <w:shd w:fill="auto" w:val="clear"/>
          <w:lang w:eastAsia="ru-RU"/>
        </w:rPr>
      </w:r>
    </w:p>
    <w:p>
      <w:pPr>
        <w:pStyle w:val="Normal"/>
        <w:jc w:val="center"/>
        <w:rPr>
          <w:rFonts w:ascii="Times New Roman" w:hAnsi="Times New Roman" w:eastAsia="Times New Roman" w:cs="Times New Roman"/>
          <w:b/>
          <w:sz w:val="28"/>
          <w:szCs w:val="28"/>
          <w:highlight w:val="none"/>
          <w:shd w:fill="auto" w:val="clear"/>
          <w:lang w:eastAsia="ru-RU"/>
        </w:rPr>
      </w:pPr>
      <w:r>
        <w:rPr>
          <w:rFonts w:eastAsia="Times New Roman" w:cs="Times New Roman" w:ascii="Times New Roman" w:hAnsi="Times New Roman"/>
          <w:b/>
          <w:sz w:val="28"/>
          <w:szCs w:val="28"/>
          <w:shd w:fill="auto" w:val="clear"/>
          <w:lang w:eastAsia="ru-RU"/>
        </w:rPr>
      </w:r>
    </w:p>
    <w:p>
      <w:pPr>
        <w:pStyle w:val="Normal"/>
        <w:jc w:val="center"/>
        <w:rPr>
          <w:rFonts w:ascii="Times New Roman" w:hAnsi="Times New Roman" w:eastAsia="Times New Roman" w:cs="Times New Roman"/>
          <w:b/>
          <w:sz w:val="28"/>
          <w:szCs w:val="28"/>
          <w:highlight w:val="none"/>
          <w:shd w:fill="auto" w:val="clear"/>
          <w:lang w:eastAsia="ru-RU"/>
        </w:rPr>
      </w:pPr>
      <w:r>
        <w:rPr>
          <w:rFonts w:eastAsia="Times New Roman" w:cs="Times New Roman" w:ascii="Times New Roman" w:hAnsi="Times New Roman"/>
          <w:b/>
          <w:sz w:val="28"/>
          <w:szCs w:val="28"/>
          <w:shd w:fill="auto" w:val="clear"/>
          <w:lang w:eastAsia="ru-RU"/>
        </w:rPr>
      </w:r>
    </w:p>
    <w:p>
      <w:pPr>
        <w:pStyle w:val="Normal"/>
        <w:jc w:val="center"/>
        <w:rPr>
          <w:rFonts w:ascii="Times New Roman" w:hAnsi="Times New Roman" w:eastAsia="Times New Roman" w:cs="Times New Roman"/>
          <w:b/>
          <w:sz w:val="28"/>
          <w:szCs w:val="28"/>
          <w:highlight w:val="none"/>
          <w:shd w:fill="auto" w:val="clear"/>
          <w:lang w:eastAsia="ru-RU"/>
        </w:rPr>
      </w:pPr>
      <w:r>
        <w:rPr>
          <w:rFonts w:eastAsia="Times New Roman" w:cs="Times New Roman" w:ascii="Times New Roman" w:hAnsi="Times New Roman"/>
          <w:b/>
          <w:sz w:val="28"/>
          <w:szCs w:val="28"/>
          <w:shd w:fill="auto" w:val="clear"/>
          <w:lang w:eastAsia="ru-RU"/>
        </w:rPr>
      </w:r>
    </w:p>
    <w:p>
      <w:pPr>
        <w:pStyle w:val="Normal"/>
        <w:jc w:val="center"/>
        <w:rPr>
          <w:rFonts w:ascii="Times New Roman" w:hAnsi="Times New Roman" w:eastAsia="Times New Roman" w:cs="Times New Roman"/>
          <w:b/>
          <w:sz w:val="28"/>
          <w:szCs w:val="28"/>
          <w:highlight w:val="none"/>
          <w:shd w:fill="auto" w:val="clear"/>
          <w:lang w:eastAsia="ru-RU"/>
        </w:rPr>
      </w:pPr>
      <w:r>
        <w:rPr>
          <w:rFonts w:eastAsia="Times New Roman" w:cs="Times New Roman" w:ascii="Times New Roman" w:hAnsi="Times New Roman"/>
          <w:b/>
          <w:sz w:val="28"/>
          <w:szCs w:val="28"/>
          <w:shd w:fill="auto" w:val="clear"/>
          <w:lang w:eastAsia="ru-RU"/>
        </w:rPr>
      </w:r>
    </w:p>
    <w:p>
      <w:pPr>
        <w:pStyle w:val="Normal"/>
        <w:jc w:val="center"/>
        <w:rPr>
          <w:rFonts w:ascii="Times New Roman" w:hAnsi="Times New Roman" w:eastAsia="Times New Roman" w:cs="Times New Roman"/>
          <w:b/>
          <w:sz w:val="28"/>
          <w:szCs w:val="28"/>
          <w:highlight w:val="none"/>
          <w:shd w:fill="auto" w:val="clear"/>
          <w:lang w:eastAsia="ru-RU"/>
        </w:rPr>
      </w:pPr>
      <w:r>
        <w:rPr>
          <w:rFonts w:eastAsia="Times New Roman" w:cs="Times New Roman" w:ascii="Times New Roman" w:hAnsi="Times New Roman"/>
          <w:b/>
          <w:sz w:val="28"/>
          <w:szCs w:val="28"/>
          <w:shd w:fill="auto" w:val="clear"/>
          <w:lang w:eastAsia="ru-RU"/>
        </w:rPr>
      </w:r>
    </w:p>
    <w:p>
      <w:pPr>
        <w:pStyle w:val="Normal"/>
        <w:jc w:val="center"/>
        <w:rPr>
          <w:rFonts w:ascii="Times New Roman" w:hAnsi="Times New Roman" w:eastAsia="Times New Roman" w:cs="Times New Roman"/>
          <w:b/>
          <w:sz w:val="28"/>
          <w:szCs w:val="28"/>
          <w:highlight w:val="none"/>
          <w:shd w:fill="auto" w:val="clear"/>
          <w:lang w:eastAsia="ru-RU"/>
        </w:rPr>
      </w:pPr>
      <w:r>
        <w:rPr>
          <w:rFonts w:eastAsia="Times New Roman" w:cs="Times New Roman" w:ascii="Times New Roman" w:hAnsi="Times New Roman"/>
          <w:b/>
          <w:sz w:val="28"/>
          <w:szCs w:val="28"/>
          <w:shd w:fill="auto" w:val="clear"/>
          <w:lang w:eastAsia="ru-RU"/>
        </w:rPr>
      </w:r>
    </w:p>
    <w:p>
      <w:pPr>
        <w:pStyle w:val="Normal"/>
        <w:jc w:val="center"/>
        <w:rPr>
          <w:rFonts w:ascii="Times New Roman" w:hAnsi="Times New Roman" w:eastAsia="Times New Roman" w:cs="Times New Roman"/>
          <w:b/>
          <w:sz w:val="28"/>
          <w:szCs w:val="28"/>
          <w:highlight w:val="none"/>
          <w:shd w:fill="auto" w:val="clear"/>
          <w:lang w:eastAsia="ru-RU"/>
        </w:rPr>
      </w:pPr>
      <w:r>
        <w:rPr>
          <w:rFonts w:eastAsia="Times New Roman" w:cs="Times New Roman" w:ascii="Times New Roman" w:hAnsi="Times New Roman"/>
          <w:b/>
          <w:sz w:val="28"/>
          <w:szCs w:val="28"/>
          <w:shd w:fill="auto" w:val="clear"/>
          <w:lang w:eastAsia="ru-RU"/>
        </w:rPr>
      </w:r>
    </w:p>
    <w:p>
      <w:pPr>
        <w:pStyle w:val="Normal"/>
        <w:jc w:val="center"/>
        <w:rPr>
          <w:rFonts w:ascii="Times New Roman" w:hAnsi="Times New Roman" w:eastAsia="Times New Roman" w:cs="Times New Roman"/>
          <w:b/>
          <w:sz w:val="28"/>
          <w:szCs w:val="28"/>
          <w:highlight w:val="none"/>
          <w:shd w:fill="auto" w:val="clear"/>
          <w:lang w:eastAsia="ru-RU"/>
        </w:rPr>
      </w:pPr>
      <w:r>
        <w:rPr>
          <w:rFonts w:eastAsia="Times New Roman" w:cs="Times New Roman" w:ascii="Times New Roman" w:hAnsi="Times New Roman"/>
          <w:b/>
          <w:sz w:val="28"/>
          <w:szCs w:val="28"/>
          <w:shd w:fill="auto" w:val="clear"/>
          <w:lang w:eastAsia="ru-RU"/>
        </w:rPr>
      </w:r>
    </w:p>
    <w:p>
      <w:pPr>
        <w:pStyle w:val="Normal"/>
        <w:jc w:val="center"/>
        <w:rPr>
          <w:rFonts w:ascii="Times New Roman" w:hAnsi="Times New Roman" w:eastAsia="Times New Roman" w:cs="Times New Roman"/>
          <w:b/>
          <w:sz w:val="28"/>
          <w:szCs w:val="28"/>
          <w:highlight w:val="none"/>
          <w:shd w:fill="auto" w:val="clear"/>
          <w:lang w:eastAsia="ru-RU"/>
        </w:rPr>
      </w:pPr>
      <w:r>
        <w:rPr>
          <w:rFonts w:eastAsia="Times New Roman" w:cs="Times New Roman" w:ascii="Times New Roman" w:hAnsi="Times New Roman"/>
          <w:b/>
          <w:sz w:val="28"/>
          <w:szCs w:val="28"/>
          <w:shd w:fill="auto" w:val="clear"/>
          <w:lang w:eastAsia="ru-RU"/>
        </w:rPr>
      </w:r>
    </w:p>
    <w:p>
      <w:pPr>
        <w:pStyle w:val="Normal"/>
        <w:jc w:val="center"/>
        <w:rPr>
          <w:sz w:val="28"/>
          <w:szCs w:val="28"/>
        </w:rPr>
      </w:pPr>
      <w:r>
        <w:rPr>
          <w:rFonts w:eastAsia="Times New Roman" w:cs="Times New Roman" w:ascii="Times New Roman" w:hAnsi="Times New Roman"/>
          <w:b/>
          <w:sz w:val="28"/>
          <w:szCs w:val="28"/>
          <w:shd w:fill="auto" w:val="clear"/>
          <w:lang w:eastAsia="ru-RU"/>
        </w:rPr>
        <w:t>Пояснительная записка</w:t>
      </w:r>
    </w:p>
    <w:p>
      <w:pPr>
        <w:pStyle w:val="Normal"/>
        <w:jc w:val="center"/>
        <w:rPr>
          <w:sz w:val="28"/>
          <w:szCs w:val="28"/>
        </w:rPr>
      </w:pPr>
      <w:r>
        <w:rPr>
          <w:rFonts w:cs="Times New Roman" w:ascii="Times New Roman" w:hAnsi="Times New Roman"/>
          <w:sz w:val="28"/>
          <w:szCs w:val="28"/>
          <w:shd w:fill="auto" w:val="clear"/>
        </w:rPr>
        <w:t>К ИСПОЛНЕНИЮ ПРОГРАММЫ</w:t>
      </w:r>
    </w:p>
    <w:p>
      <w:pPr>
        <w:pStyle w:val="Normal"/>
        <w:widowControl w:val="false"/>
        <w:spacing w:lineRule="auto" w:line="240" w:before="0" w:after="0"/>
        <w:jc w:val="center"/>
        <w:rPr>
          <w:sz w:val="28"/>
          <w:szCs w:val="28"/>
        </w:rPr>
      </w:pPr>
      <w:r>
        <w:rPr>
          <w:rFonts w:cs="Times New Roman" w:ascii="Times New Roman" w:hAnsi="Times New Roman"/>
          <w:b/>
          <w:bCs/>
          <w:sz w:val="28"/>
          <w:szCs w:val="28"/>
          <w:shd w:fill="auto" w:val="clear"/>
        </w:rPr>
        <w:t>«Безопасность дорожного движения в Прокопьевском муниципальном округе» на 2018-2027 годы</w:t>
      </w:r>
    </w:p>
    <w:p>
      <w:pPr>
        <w:pStyle w:val="Normal"/>
        <w:jc w:val="center"/>
        <w:rPr>
          <w:sz w:val="28"/>
          <w:szCs w:val="28"/>
        </w:rPr>
      </w:pPr>
      <w:r>
        <w:rPr>
          <w:rFonts w:cs="Times New Roman" w:ascii="Times New Roman" w:hAnsi="Times New Roman"/>
          <w:b/>
          <w:sz w:val="28"/>
          <w:szCs w:val="28"/>
          <w:shd w:fill="auto" w:val="clear"/>
        </w:rPr>
        <w:t>за 2025 год</w:t>
      </w:r>
    </w:p>
    <w:p>
      <w:pPr>
        <w:pStyle w:val="Normal"/>
        <w:widowControl w:val="false"/>
        <w:spacing w:lineRule="auto" w:line="240" w:before="0" w:after="0"/>
        <w:ind w:firstLine="851"/>
        <w:jc w:val="both"/>
        <w:rPr/>
      </w:pPr>
      <w:r>
        <w:rPr>
          <w:rFonts w:eastAsia="Times New Roman" w:cs="Times New Roman" w:ascii="Times New Roman" w:hAnsi="Times New Roman"/>
          <w:sz w:val="28"/>
          <w:szCs w:val="28"/>
          <w:shd w:fill="auto" w:val="clear"/>
          <w:lang w:eastAsia="ru-RU"/>
        </w:rPr>
        <w:t>Оценка эффективности муниципальной программы «</w:t>
      </w:r>
      <w:r>
        <w:rPr>
          <w:rFonts w:cs="Times New Roman" w:ascii="Times New Roman" w:hAnsi="Times New Roman"/>
          <w:bCs/>
          <w:sz w:val="28"/>
          <w:szCs w:val="28"/>
          <w:shd w:fill="auto" w:val="clear"/>
        </w:rPr>
        <w:t xml:space="preserve">Об утверждении муниципальной программы «Безопасность дорожного движения в Прокопьевском муниципальном округе» на 2018-2024 годы» </w:t>
      </w:r>
      <w:r>
        <w:rPr>
          <w:rFonts w:eastAsia="Times New Roman" w:cs="Times New Roman" w:ascii="Times New Roman" w:hAnsi="Times New Roman"/>
          <w:sz w:val="28"/>
          <w:szCs w:val="28"/>
          <w:shd w:fill="auto" w:val="clear"/>
          <w:lang w:eastAsia="ru-RU"/>
        </w:rPr>
        <w:t xml:space="preserve">за 2025 год произведена согласно Методике оценки эффективности муниципальной программы, утвержденной Постановлением администрации Прокопьевского муниципального округа </w:t>
      </w:r>
      <w:r>
        <w:rPr>
          <w:rFonts w:ascii="Times New Roman" w:hAnsi="Times New Roman"/>
          <w:sz w:val="28"/>
          <w:szCs w:val="28"/>
          <w:shd w:fill="auto" w:val="clear"/>
        </w:rPr>
        <w:t xml:space="preserve">от 20.10.2017 № 2374-п </w:t>
      </w:r>
      <w:r>
        <w:rPr>
          <w:rFonts w:ascii="Times New Roman" w:hAnsi="Times New Roman"/>
          <w:bCs/>
          <w:sz w:val="28"/>
          <w:szCs w:val="28"/>
          <w:shd w:fill="auto" w:val="clear"/>
        </w:rPr>
        <w:t>«Об утверждении</w:t>
      </w:r>
      <w:r>
        <w:rPr>
          <w:rFonts w:ascii="Times New Roman" w:hAnsi="Times New Roman"/>
          <w:sz w:val="28"/>
          <w:szCs w:val="28"/>
          <w:shd w:fill="auto" w:val="clear"/>
        </w:rPr>
        <w:t xml:space="preserve"> муниципальной </w:t>
      </w:r>
      <w:hyperlink w:anchor="Par26">
        <w:r>
          <w:rPr>
            <w:rFonts w:ascii="Times New Roman" w:hAnsi="Times New Roman"/>
            <w:sz w:val="28"/>
            <w:szCs w:val="28"/>
            <w:shd w:fill="auto" w:val="clear"/>
          </w:rPr>
          <w:t>программ</w:t>
        </w:r>
      </w:hyperlink>
      <w:r>
        <w:rPr>
          <w:sz w:val="28"/>
          <w:szCs w:val="28"/>
          <w:shd w:fill="auto" w:val="clear"/>
        </w:rPr>
        <w:t xml:space="preserve">ы </w:t>
      </w:r>
      <w:r>
        <w:rPr>
          <w:rFonts w:ascii="Times New Roman" w:hAnsi="Times New Roman"/>
          <w:bCs/>
          <w:sz w:val="28"/>
          <w:szCs w:val="28"/>
          <w:shd w:fill="auto" w:val="clear"/>
        </w:rPr>
        <w:t xml:space="preserve">«Безопасность дорожного движения в Прокопьевском муниципальном округе» на 2018 - 2024 годы» (в редакции постановлений от </w:t>
      </w:r>
      <w:r>
        <w:rPr>
          <w:rFonts w:ascii="Times New Roman" w:hAnsi="Times New Roman"/>
          <w:color w:val="000000"/>
          <w:sz w:val="28"/>
          <w:szCs w:val="28"/>
          <w:shd w:fill="auto" w:val="clear"/>
        </w:rPr>
        <w:t>01.02.2018 № 130-п, от 06.07.2018 №1293-п, от 06.12.2018 №2751-п, от 14.01.2019 № 26-п, от 14.10.2019 № 2405-п, от 30.12.2019 № 3301-п, от 17.06.2020 № 1317-п, от 15.10.2020 № 2668-п, от 30.12.2020 № 3653-п, от 15.10.2021 № 2775-п от 30.12.2021 № 3624-п, от 04.02.2022 № 180-п, от 15.03.2022 № 520-п, от 28.03.2022 № 695-п, от 21.06.2022 № 1622-п от 14.10.2022 № 3012-п, 30.12.2022 № 3976, от 21.08.2023 № 137-п, от 13.10.2023 № 189-п, от 18.12.2023 № 231-п, от 02.04.2024 № 39-п, от 14.10.2024 № 150-п, от 31.01.2025 № 12-п, от 06.10.2025 № 168-4, от 30.12.2025 № 237-п</w:t>
      </w:r>
      <w:r>
        <w:rPr>
          <w:rFonts w:ascii="Times New Roman" w:hAnsi="Times New Roman"/>
          <w:bCs/>
          <w:sz w:val="28"/>
          <w:szCs w:val="28"/>
          <w:shd w:fill="auto" w:val="clear"/>
        </w:rPr>
        <w:t>)</w:t>
      </w:r>
      <w:r>
        <w:rPr>
          <w:rFonts w:eastAsia="Times New Roman" w:cs="Times New Roman" w:ascii="Times New Roman" w:hAnsi="Times New Roman"/>
          <w:sz w:val="28"/>
          <w:szCs w:val="28"/>
          <w:shd w:fill="auto" w:val="clear"/>
          <w:lang w:eastAsia="ru-RU"/>
        </w:rPr>
        <w:t>.</w:t>
      </w:r>
    </w:p>
    <w:p>
      <w:pPr>
        <w:pStyle w:val="Normal"/>
        <w:spacing w:lineRule="auto" w:line="240" w:before="0" w:after="0"/>
        <w:ind w:firstLine="709"/>
        <w:jc w:val="both"/>
        <w:rPr>
          <w:sz w:val="28"/>
          <w:szCs w:val="28"/>
        </w:rPr>
      </w:pPr>
      <w:r>
        <w:rPr>
          <w:rFonts w:cs="Times New Roman" w:ascii="Times New Roman" w:hAnsi="Times New Roman"/>
          <w:sz w:val="28"/>
          <w:szCs w:val="28"/>
          <w:shd w:fill="auto" w:val="clear"/>
        </w:rPr>
        <w:t>Исполнителями муниципальной Программы являются - МКУ «УДЖНП» Прокопьевского муниципального района, Управление образования администрации Прокопьевского муниципального округа, МКУ «ТУ Прокопьевского муниципального округа». Комитет по управлению муниципальной собственностью Прокопьевского муниципального округа, ОГИБДД отдела МВД России по Прокопьевскому району (по согласованию).</w:t>
      </w:r>
    </w:p>
    <w:p>
      <w:pPr>
        <w:pStyle w:val="Normal"/>
        <w:spacing w:lineRule="auto" w:line="240" w:before="0" w:after="0"/>
        <w:ind w:firstLine="709"/>
        <w:jc w:val="both"/>
        <w:rPr>
          <w:sz w:val="28"/>
          <w:szCs w:val="28"/>
        </w:rPr>
      </w:pPr>
      <w:r>
        <w:rPr>
          <w:rFonts w:cs="Times New Roman" w:ascii="Times New Roman" w:hAnsi="Times New Roman"/>
          <w:sz w:val="28"/>
          <w:szCs w:val="28"/>
          <w:shd w:fill="auto" w:val="clear"/>
        </w:rPr>
        <w:t>Ответственным исполнителем (координатором) программы является отдел МКУ «УДЖНП ПМР».</w:t>
      </w:r>
    </w:p>
    <w:p>
      <w:pPr>
        <w:pStyle w:val="Normal"/>
        <w:spacing w:lineRule="auto" w:line="240" w:before="0" w:after="0"/>
        <w:ind w:firstLine="709"/>
        <w:jc w:val="both"/>
        <w:rPr>
          <w:sz w:val="28"/>
          <w:szCs w:val="28"/>
        </w:rPr>
      </w:pPr>
      <w:r>
        <w:rPr>
          <w:rFonts w:cs="Times New Roman" w:ascii="Times New Roman" w:hAnsi="Times New Roman"/>
          <w:sz w:val="28"/>
          <w:szCs w:val="28"/>
          <w:shd w:fill="auto" w:val="clear"/>
        </w:rPr>
        <w:t>Цели муниципальной Программы:</w:t>
      </w:r>
    </w:p>
    <w:p>
      <w:pPr>
        <w:pStyle w:val="Normal"/>
        <w:spacing w:lineRule="auto" w:line="240" w:before="0" w:after="0"/>
        <w:jc w:val="both"/>
        <w:rPr>
          <w:sz w:val="28"/>
          <w:szCs w:val="28"/>
        </w:rPr>
      </w:pPr>
      <w:r>
        <w:rPr>
          <w:rFonts w:cs="Times New Roman" w:ascii="Times New Roman" w:hAnsi="Times New Roman"/>
          <w:sz w:val="28"/>
          <w:szCs w:val="28"/>
          <w:shd w:fill="auto" w:val="clear"/>
        </w:rPr>
        <w:t>- Обеспечение высокого уровня безопасности дорожного движения на автомобильных дорогах местного значения Прокопьевского муниципального округа;</w:t>
      </w:r>
    </w:p>
    <w:p>
      <w:pPr>
        <w:pStyle w:val="Normal"/>
        <w:spacing w:lineRule="auto" w:line="240" w:before="0" w:after="0"/>
        <w:jc w:val="both"/>
        <w:rPr>
          <w:sz w:val="28"/>
          <w:szCs w:val="28"/>
        </w:rPr>
      </w:pPr>
      <w:r>
        <w:rPr>
          <w:rFonts w:cs="Times New Roman" w:ascii="Times New Roman" w:hAnsi="Times New Roman"/>
          <w:sz w:val="28"/>
          <w:szCs w:val="28"/>
          <w:shd w:fill="auto" w:val="clear"/>
        </w:rPr>
        <w:t>- Сокращение:</w:t>
      </w:r>
    </w:p>
    <w:p>
      <w:pPr>
        <w:pStyle w:val="ListParagraph"/>
        <w:numPr>
          <w:ilvl w:val="0"/>
          <w:numId w:val="1"/>
        </w:numPr>
        <w:spacing w:lineRule="auto" w:line="240" w:before="0" w:after="0"/>
        <w:contextualSpacing/>
        <w:jc w:val="both"/>
        <w:rPr>
          <w:sz w:val="28"/>
          <w:szCs w:val="28"/>
        </w:rPr>
      </w:pPr>
      <w:r>
        <w:rPr>
          <w:rFonts w:cs="Times New Roman" w:ascii="Times New Roman" w:hAnsi="Times New Roman"/>
          <w:sz w:val="28"/>
          <w:szCs w:val="28"/>
          <w:shd w:fill="auto" w:val="clear"/>
        </w:rPr>
        <w:t>количества детей, пострадавших в результате дорожно-транспортных происшествий на автомобильных дорогах местного значения Прокопьевского муниципального округа;</w:t>
      </w:r>
    </w:p>
    <w:p>
      <w:pPr>
        <w:pStyle w:val="ListParagraph"/>
        <w:numPr>
          <w:ilvl w:val="0"/>
          <w:numId w:val="1"/>
        </w:numPr>
        <w:spacing w:lineRule="auto" w:line="240" w:before="0" w:after="0"/>
        <w:contextualSpacing/>
        <w:jc w:val="both"/>
        <w:rPr>
          <w:sz w:val="28"/>
          <w:szCs w:val="28"/>
        </w:rPr>
      </w:pPr>
      <w:r>
        <w:rPr>
          <w:rFonts w:cs="Times New Roman" w:ascii="Times New Roman" w:hAnsi="Times New Roman"/>
          <w:sz w:val="28"/>
          <w:szCs w:val="28"/>
          <w:shd w:fill="auto" w:val="clear"/>
        </w:rPr>
        <w:t>количества лиц, пострадавших в результате дорожно-транспортных происшествий на автомобильных дорогах местного значения Прокопьевского муниципального округа;</w:t>
      </w:r>
    </w:p>
    <w:p>
      <w:pPr>
        <w:pStyle w:val="ListParagraph"/>
        <w:numPr>
          <w:ilvl w:val="0"/>
          <w:numId w:val="1"/>
        </w:numPr>
        <w:spacing w:lineRule="auto" w:line="240" w:before="0" w:after="0"/>
        <w:contextualSpacing/>
        <w:jc w:val="both"/>
        <w:rPr>
          <w:sz w:val="28"/>
          <w:szCs w:val="28"/>
        </w:rPr>
      </w:pPr>
      <w:r>
        <w:rPr>
          <w:rFonts w:cs="Times New Roman" w:ascii="Times New Roman" w:hAnsi="Times New Roman"/>
          <w:sz w:val="28"/>
          <w:szCs w:val="28"/>
          <w:shd w:fill="auto" w:val="clear"/>
        </w:rPr>
        <w:t>количества лиц, погибших в результате дорожно-транспортных происшествий на автомобильных дорогах местного значения Прокопьевского муниципального округа.</w:t>
      </w:r>
    </w:p>
    <w:p>
      <w:pPr>
        <w:pStyle w:val="Normal"/>
        <w:spacing w:lineRule="auto" w:line="240" w:before="0" w:after="0"/>
        <w:ind w:firstLine="709"/>
        <w:jc w:val="both"/>
        <w:rPr>
          <w:sz w:val="28"/>
          <w:szCs w:val="28"/>
        </w:rPr>
      </w:pPr>
      <w:r>
        <w:rPr>
          <w:rFonts w:eastAsia="Times New Roman" w:cs="Times New Roman" w:ascii="Times New Roman" w:hAnsi="Times New Roman"/>
          <w:sz w:val="28"/>
          <w:szCs w:val="28"/>
          <w:shd w:fill="auto" w:val="clear"/>
          <w:lang w:eastAsia="ru-RU"/>
        </w:rPr>
        <w:t>В результате реализации программы за 2025 год:</w:t>
      </w:r>
    </w:p>
    <w:p>
      <w:pPr>
        <w:pStyle w:val="Normal"/>
        <w:spacing w:lineRule="auto" w:line="240" w:before="0" w:after="0"/>
        <w:ind w:firstLine="709"/>
        <w:rPr>
          <w:sz w:val="28"/>
          <w:szCs w:val="28"/>
        </w:rPr>
      </w:pPr>
      <w:r>
        <w:rPr>
          <w:rFonts w:eastAsia="Times New Roman" w:cs="Times New Roman" w:ascii="Times New Roman" w:hAnsi="Times New Roman"/>
          <w:sz w:val="28"/>
          <w:szCs w:val="28"/>
          <w:shd w:fill="auto" w:val="clear"/>
          <w:lang w:eastAsia="ru-RU"/>
        </w:rPr>
        <w:t>- Количество лиц, погибших в результате дорожно-транспортных происшествий на автомобильных дорогах местного значения Прокопьевского муниципального округ – 1 человек.</w:t>
      </w:r>
    </w:p>
    <w:p>
      <w:pPr>
        <w:pStyle w:val="Normal"/>
        <w:spacing w:lineRule="auto" w:line="240" w:before="0" w:after="0"/>
        <w:ind w:firstLine="709"/>
        <w:jc w:val="both"/>
        <w:rPr>
          <w:sz w:val="28"/>
          <w:szCs w:val="28"/>
        </w:rPr>
      </w:pPr>
      <w:r>
        <w:rPr>
          <w:rFonts w:eastAsia="Times New Roman" w:cs="Times New Roman" w:ascii="Times New Roman" w:hAnsi="Times New Roman"/>
          <w:sz w:val="28"/>
          <w:szCs w:val="28"/>
          <w:shd w:fill="auto" w:val="clear"/>
          <w:lang w:eastAsia="ru-RU"/>
        </w:rPr>
        <w:t>- Количество детей, пострадавших в результате дорожно-транспортных происшествий на автомобильных дорогах местного значения Прокопьевского муниципального округа уменьшилось на 1 ребёнка.</w:t>
      </w:r>
    </w:p>
    <w:p>
      <w:pPr>
        <w:pStyle w:val="Normal"/>
        <w:spacing w:lineRule="auto" w:line="240" w:before="0" w:after="0"/>
        <w:ind w:firstLine="709"/>
        <w:jc w:val="both"/>
        <w:rPr>
          <w:sz w:val="28"/>
          <w:szCs w:val="28"/>
        </w:rPr>
      </w:pPr>
      <w:r>
        <w:rPr>
          <w:rFonts w:eastAsia="Times New Roman" w:cs="Times New Roman" w:ascii="Times New Roman" w:hAnsi="Times New Roman"/>
          <w:sz w:val="28"/>
          <w:szCs w:val="28"/>
          <w:shd w:fill="auto" w:val="clear"/>
          <w:lang w:eastAsia="ru-RU"/>
        </w:rPr>
        <w:t>- Количество лиц, пострадавших в результате дорожно-транспортных происшествий на автомобильных дорогах местного значения Прокопьевского муниципального округа достигло плановых показателей.</w:t>
      </w:r>
    </w:p>
    <w:p>
      <w:pPr>
        <w:pStyle w:val="Normal"/>
        <w:spacing w:lineRule="auto" w:line="240" w:before="0" w:after="0"/>
        <w:ind w:firstLine="851"/>
        <w:jc w:val="both"/>
        <w:rPr>
          <w:sz w:val="28"/>
          <w:szCs w:val="28"/>
        </w:rPr>
      </w:pPr>
      <w:r>
        <w:rPr>
          <w:rFonts w:cs="Times New Roman" w:ascii="Times New Roman" w:hAnsi="Times New Roman"/>
          <w:sz w:val="28"/>
          <w:szCs w:val="28"/>
          <w:shd w:fill="auto" w:val="clear"/>
        </w:rPr>
        <w:t xml:space="preserve">Вопросы безопасности дорожного движения регулярно рассматриваются на совещаниях руководителей образовательных организаций, заместителей по безопасности жизнедеятельности, на методических объединениях, семинарах – практикумах для преподавателей ОБЖ, воспитателей детских садов с приглашением сотрудников ГИБДД. В целях профилактической работы по ДДТТ (детскому дорожно-транспортному травматизму) в образовательных организациях  проводятся открытые мероприятия. </w:t>
      </w:r>
    </w:p>
    <w:p>
      <w:pPr>
        <w:pStyle w:val="Normal"/>
        <w:widowControl w:val="false"/>
        <w:spacing w:lineRule="auto" w:line="240" w:before="0" w:after="0"/>
        <w:ind w:firstLine="851"/>
        <w:jc w:val="both"/>
        <w:rPr>
          <w:sz w:val="28"/>
          <w:szCs w:val="28"/>
        </w:rPr>
      </w:pPr>
      <w:r>
        <w:rPr>
          <w:rFonts w:cs="Times New Roman" w:ascii="Times New Roman" w:hAnsi="Times New Roman"/>
          <w:sz w:val="28"/>
          <w:szCs w:val="28"/>
          <w:shd w:fill="auto" w:val="clear"/>
        </w:rPr>
        <w:t>Мероприятия в области дорожного хозяйства администрацией  Прокопьевского муниципального округа проводятся в полном объеме: чистка дорог в зимнее время проводятся вовремя, в летний период проводится капитальный и текущий ремонт асфальтобетонного покрытия дорожного полотна, отсыпка дорог, разметка дорог наносится 2 раза в году, автодороги Прокопьевского муниципального округа на предмет обеспечены дорожными знаками, регламентирующими движение грузового транспорта, знаки установлены, согласно проекту организации дорожного движения в полном объеме.</w:t>
      </w:r>
    </w:p>
    <w:p>
      <w:pPr>
        <w:pStyle w:val="Normal"/>
        <w:spacing w:lineRule="auto" w:line="240" w:before="0" w:after="0"/>
        <w:ind w:firstLine="851"/>
        <w:jc w:val="both"/>
        <w:rPr>
          <w:sz w:val="28"/>
          <w:szCs w:val="28"/>
        </w:rPr>
      </w:pPr>
      <w:r>
        <w:rPr>
          <w:rFonts w:cs="Times New Roman" w:ascii="Times New Roman" w:hAnsi="Times New Roman"/>
          <w:color w:val="000000"/>
          <w:sz w:val="28"/>
          <w:szCs w:val="28"/>
          <w:shd w:fill="auto" w:val="clear"/>
        </w:rPr>
        <w:t xml:space="preserve">На 2025 год финансирование на реализацию муниципальной программы </w:t>
      </w:r>
      <w:r>
        <w:rPr>
          <w:rFonts w:cs="Times New Roman" w:ascii="Times New Roman" w:hAnsi="Times New Roman"/>
          <w:bCs/>
          <w:color w:val="000000"/>
          <w:sz w:val="28"/>
          <w:szCs w:val="28"/>
          <w:shd w:fill="auto" w:val="clear"/>
        </w:rPr>
        <w:t>«Безопасность дорожного движения в Прокопьевском муниципальном округе» на 2018-2027</w:t>
      </w:r>
      <w:r>
        <w:rPr>
          <w:rFonts w:cs="Times New Roman" w:ascii="Times New Roman" w:hAnsi="Times New Roman"/>
          <w:bCs/>
          <w:color w:val="FF0000"/>
          <w:sz w:val="28"/>
          <w:szCs w:val="28"/>
          <w:shd w:fill="auto" w:val="clear"/>
        </w:rPr>
        <w:t xml:space="preserve"> </w:t>
      </w:r>
      <w:r>
        <w:rPr>
          <w:rFonts w:cs="Times New Roman" w:ascii="Times New Roman" w:hAnsi="Times New Roman"/>
          <w:bCs/>
          <w:color w:val="000000"/>
          <w:sz w:val="28"/>
          <w:szCs w:val="28"/>
          <w:shd w:fill="auto" w:val="clear"/>
        </w:rPr>
        <w:t xml:space="preserve">годы» </w:t>
      </w:r>
      <w:r>
        <w:rPr>
          <w:rFonts w:cs="Times New Roman" w:ascii="Times New Roman" w:hAnsi="Times New Roman"/>
          <w:color w:val="000000"/>
          <w:sz w:val="28"/>
          <w:szCs w:val="28"/>
          <w:shd w:fill="auto" w:val="clear"/>
        </w:rPr>
        <w:t xml:space="preserve">предусмотрено в сумме 201 070,6 тыс. руб., в том числе местный бюджет – 155 032,6 тыс. руб. и областной бюджет 46 038,00 тыс.руб. </w:t>
      </w:r>
    </w:p>
    <w:p>
      <w:pPr>
        <w:pStyle w:val="Normal"/>
        <w:spacing w:lineRule="auto" w:line="240" w:before="0" w:after="0"/>
        <w:ind w:firstLine="851"/>
        <w:jc w:val="both"/>
        <w:rPr>
          <w:sz w:val="28"/>
          <w:szCs w:val="28"/>
        </w:rPr>
      </w:pPr>
      <w:r>
        <w:rPr>
          <w:rFonts w:cs="Times New Roman" w:ascii="Times New Roman" w:hAnsi="Times New Roman"/>
          <w:color w:val="000000"/>
          <w:sz w:val="28"/>
          <w:szCs w:val="28"/>
          <w:shd w:fill="auto" w:val="clear"/>
        </w:rPr>
        <w:t>Уточненный план ассигнований на 2025 год составил 201 070,6  тыс. рублей. Фактический объем финансирования составил 201 064,8  тыс. рублей.</w:t>
      </w:r>
    </w:p>
    <w:p>
      <w:pPr>
        <w:pStyle w:val="Normal"/>
        <w:spacing w:lineRule="auto" w:line="240" w:before="0" w:after="0"/>
        <w:ind w:firstLine="709"/>
        <w:jc w:val="both"/>
        <w:rPr>
          <w:sz w:val="28"/>
          <w:szCs w:val="28"/>
        </w:rPr>
      </w:pPr>
      <w:r>
        <w:rPr>
          <w:rFonts w:cs="Times New Roman" w:ascii="Times New Roman" w:hAnsi="Times New Roman"/>
          <w:color w:val="000000"/>
          <w:sz w:val="28"/>
          <w:szCs w:val="28"/>
          <w:shd w:fill="auto" w:val="clear"/>
        </w:rPr>
        <w:t>На 01.01.2025 г. выполнение программы составило 99,99 %, общая сумма финансирования 201 064,8  тыс. рублей:</w:t>
      </w:r>
    </w:p>
    <w:p>
      <w:pPr>
        <w:pStyle w:val="Normal"/>
        <w:spacing w:lineRule="auto" w:line="240" w:before="0" w:after="0"/>
        <w:ind w:firstLine="709"/>
        <w:jc w:val="both"/>
        <w:rPr>
          <w:sz w:val="28"/>
          <w:szCs w:val="28"/>
        </w:rPr>
      </w:pPr>
      <w:r>
        <w:rPr>
          <w:rFonts w:cs="Times New Roman" w:ascii="Times New Roman" w:hAnsi="Times New Roman"/>
          <w:color w:val="000000"/>
          <w:sz w:val="28"/>
          <w:szCs w:val="28"/>
          <w:shd w:fill="auto" w:val="clear"/>
        </w:rPr>
        <w:t xml:space="preserve">1. </w:t>
      </w:r>
      <w:r>
        <w:rPr>
          <w:rFonts w:cs="Times New Roman" w:ascii="Tinos" w:hAnsi="Tinos"/>
          <w:b w:val="false"/>
          <w:bCs w:val="false"/>
          <w:color w:val="000000"/>
          <w:sz w:val="28"/>
          <w:szCs w:val="28"/>
          <w:shd w:fill="auto" w:val="clear"/>
          <w:lang w:eastAsia="ru-RU"/>
        </w:rPr>
        <w:t xml:space="preserve">Организация и проведение среди образовательных учреждений Прокопьевского муниципального округа акций </w:t>
      </w:r>
      <w:r>
        <w:rPr>
          <w:rFonts w:cs="Times New Roman" w:ascii="Tinos" w:hAnsi="Tinos"/>
          <w:b w:val="false"/>
          <w:bCs w:val="false"/>
          <w:color w:val="000000"/>
          <w:sz w:val="28"/>
          <w:szCs w:val="28"/>
          <w:shd w:fill="auto" w:val="clear"/>
        </w:rPr>
        <w:t>«Кузбасс — территория безопасности», , «Безопасные каникулы», «Внимание - дети!», «Будь заметен на дороге», «Шагающий автобус», Линейка посвящение в пешеходы первоклассников;</w:t>
      </w:r>
    </w:p>
    <w:p>
      <w:pPr>
        <w:pStyle w:val="Normal"/>
        <w:spacing w:lineRule="auto" w:line="240" w:before="0" w:after="0"/>
        <w:ind w:firstLine="709"/>
        <w:jc w:val="both"/>
        <w:rPr>
          <w:sz w:val="28"/>
          <w:szCs w:val="28"/>
        </w:rPr>
      </w:pPr>
      <w:r>
        <w:rPr>
          <w:rFonts w:cs="Times New Roman" w:ascii="Times New Roman" w:hAnsi="Times New Roman"/>
          <w:color w:val="000000"/>
          <w:sz w:val="28"/>
          <w:szCs w:val="28"/>
          <w:shd w:fill="auto" w:val="clear"/>
        </w:rPr>
        <w:t xml:space="preserve">2.  </w:t>
      </w:r>
      <w:r>
        <w:rPr>
          <w:rFonts w:cs="Times New Roman" w:ascii="Tinos" w:hAnsi="Tinos"/>
          <w:b w:val="false"/>
          <w:bCs w:val="false"/>
          <w:color w:val="000000"/>
          <w:sz w:val="28"/>
          <w:szCs w:val="28"/>
          <w:shd w:fill="auto" w:val="clear"/>
        </w:rPr>
        <w:t>Приобретение развивающих игр по ПДД для дошкольников за 2025 год без денежных затрат, использованы методические материалы сети «Интернет» и их распечатка по изучению Правил дорожного движения;</w:t>
      </w:r>
    </w:p>
    <w:p>
      <w:pPr>
        <w:pStyle w:val="Normal"/>
        <w:spacing w:lineRule="auto" w:line="240" w:before="0" w:after="0"/>
        <w:ind w:firstLine="709"/>
        <w:jc w:val="both"/>
        <w:rPr>
          <w:sz w:val="28"/>
          <w:szCs w:val="28"/>
        </w:rPr>
      </w:pPr>
      <w:r>
        <w:rPr>
          <w:rFonts w:cs="Times New Roman" w:ascii="Times New Roman" w:hAnsi="Times New Roman"/>
          <w:color w:val="000000"/>
          <w:sz w:val="28"/>
          <w:szCs w:val="28"/>
          <w:shd w:fill="auto" w:val="clear"/>
        </w:rPr>
        <w:t xml:space="preserve">3. </w:t>
      </w:r>
      <w:r>
        <w:rPr>
          <w:rFonts w:cs="Times New Roman" w:ascii="Tinos" w:hAnsi="Tinos"/>
          <w:b w:val="false"/>
          <w:bCs w:val="false"/>
          <w:color w:val="000000"/>
          <w:sz w:val="28"/>
          <w:szCs w:val="28"/>
          <w:shd w:fill="auto" w:val="clear"/>
          <w:lang w:eastAsia="ru-RU"/>
        </w:rPr>
        <w:t>Организация и проведение муниципальных конкурсов по правилам дорожного движения (кубки, медали, призы, грамоты)</w:t>
      </w:r>
      <w:r>
        <w:rPr>
          <w:rFonts w:cs="Times New Roman" w:ascii="Tinos" w:hAnsi="Tinos"/>
          <w:b w:val="false"/>
          <w:bCs w:val="false"/>
          <w:color w:val="000000"/>
          <w:sz w:val="28"/>
          <w:szCs w:val="28"/>
          <w:shd w:fill="auto" w:val="clear"/>
        </w:rPr>
        <w:t xml:space="preserve"> без денежных затрат, за 2025 год</w:t>
      </w:r>
      <w:r>
        <w:rPr>
          <w:rFonts w:cs="Times New Roman" w:ascii="Tinos" w:hAnsi="Tinos"/>
          <w:b w:val="false"/>
          <w:bCs w:val="false"/>
          <w:color w:val="000000"/>
          <w:sz w:val="28"/>
          <w:szCs w:val="28"/>
          <w:shd w:fill="auto" w:val="clear"/>
          <w:lang w:eastAsia="ru-RU"/>
        </w:rPr>
        <w:t xml:space="preserve"> среди образовательных учреждений</w:t>
      </w:r>
      <w:r>
        <w:rPr>
          <w:rFonts w:cs="Times New Roman" w:ascii="Tinos" w:hAnsi="Tinos"/>
          <w:b w:val="false"/>
          <w:bCs w:val="false"/>
          <w:color w:val="000000"/>
          <w:sz w:val="28"/>
          <w:szCs w:val="28"/>
          <w:shd w:fill="auto" w:val="clear"/>
        </w:rPr>
        <w:t xml:space="preserve"> проведены муниципальные конкурсы: «Мама, папа, я и безопасная семья»,  среди дошкольных учреждений проведен конкурс «Знают все мои друзья, знаю ПДД и я», проведен конкурс рисунков «Правила дорожные, детям знать положено», конкурс рисунков «Знаем правила, следуем правилам», единый день безопасности дорожного движения - «Детям Кузбасса безопасные дороги»;</w:t>
      </w:r>
    </w:p>
    <w:p>
      <w:pPr>
        <w:pStyle w:val="Normal"/>
        <w:spacing w:lineRule="auto" w:line="240" w:before="0" w:after="0"/>
        <w:ind w:firstLine="709"/>
        <w:jc w:val="both"/>
        <w:rPr>
          <w:sz w:val="28"/>
          <w:szCs w:val="28"/>
        </w:rPr>
      </w:pPr>
      <w:r>
        <w:rPr>
          <w:rFonts w:cs="Times New Roman" w:ascii="Times New Roman" w:hAnsi="Times New Roman"/>
          <w:color w:val="000000"/>
          <w:sz w:val="28"/>
          <w:szCs w:val="28"/>
          <w:shd w:fill="auto" w:val="clear"/>
        </w:rPr>
        <w:t xml:space="preserve">4. </w:t>
      </w:r>
      <w:r>
        <w:rPr>
          <w:rFonts w:cs="Times New Roman" w:ascii="Tinos" w:hAnsi="Tinos"/>
          <w:b w:val="false"/>
          <w:bCs w:val="false"/>
          <w:color w:val="000000"/>
          <w:sz w:val="28"/>
          <w:szCs w:val="28"/>
          <w:shd w:fill="auto" w:val="clear"/>
          <w:lang w:eastAsia="ru-RU"/>
        </w:rPr>
        <w:t>Капитальный и текущий ремонт автогородков</w:t>
      </w:r>
      <w:r>
        <w:rPr>
          <w:rFonts w:cs="Times New Roman" w:ascii="Tinos" w:hAnsi="Tinos"/>
          <w:b w:val="false"/>
          <w:bCs w:val="false"/>
          <w:color w:val="000000"/>
          <w:sz w:val="28"/>
          <w:szCs w:val="28"/>
          <w:shd w:fill="auto" w:val="clear"/>
        </w:rPr>
        <w:t xml:space="preserve"> в 2025 году не проводился.</w:t>
      </w:r>
    </w:p>
    <w:p>
      <w:pPr>
        <w:pStyle w:val="Normal"/>
        <w:spacing w:lineRule="auto" w:line="240" w:before="0" w:after="0"/>
        <w:ind w:firstLine="709"/>
        <w:jc w:val="both"/>
        <w:rPr>
          <w:sz w:val="28"/>
          <w:szCs w:val="28"/>
        </w:rPr>
      </w:pPr>
      <w:r>
        <w:rPr>
          <w:rFonts w:cs="Times New Roman" w:ascii="Times New Roman" w:hAnsi="Times New Roman"/>
          <w:color w:val="000000"/>
          <w:sz w:val="28"/>
          <w:szCs w:val="28"/>
          <w:shd w:fill="auto" w:val="clear"/>
        </w:rPr>
        <w:t>5. В 2025 году без денежных затрат ввиду отсутствия потребности.</w:t>
      </w:r>
    </w:p>
    <w:p>
      <w:pPr>
        <w:pStyle w:val="Normal"/>
        <w:spacing w:lineRule="auto" w:line="240" w:before="0" w:after="0"/>
        <w:ind w:firstLine="709"/>
        <w:jc w:val="both"/>
        <w:rPr>
          <w:sz w:val="28"/>
          <w:szCs w:val="28"/>
        </w:rPr>
      </w:pPr>
      <w:r>
        <w:rPr>
          <w:rFonts w:ascii="Times New Roman" w:hAnsi="Times New Roman"/>
          <w:color w:val="000000"/>
          <w:sz w:val="28"/>
          <w:szCs w:val="28"/>
          <w:shd w:fill="auto" w:val="clear"/>
          <w:lang w:eastAsia="ru-RU"/>
        </w:rPr>
        <w:t>6. Приобретение и установка проблесковых маячков</w:t>
      </w:r>
      <w:r>
        <w:rPr>
          <w:rFonts w:cs="Times New Roman" w:ascii="Times New Roman" w:hAnsi="Times New Roman"/>
          <w:color w:val="000000"/>
          <w:sz w:val="28"/>
          <w:szCs w:val="28"/>
          <w:shd w:fill="auto" w:val="clear"/>
        </w:rPr>
        <w:t xml:space="preserve"> в 2023 году без денежных затрат ввиду отсутствия потребности на автобусы.</w:t>
      </w:r>
    </w:p>
    <w:p>
      <w:pPr>
        <w:pStyle w:val="Normal"/>
        <w:spacing w:lineRule="auto" w:line="240" w:before="0" w:after="0"/>
        <w:ind w:firstLine="709"/>
        <w:jc w:val="both"/>
        <w:rPr>
          <w:sz w:val="28"/>
          <w:szCs w:val="28"/>
        </w:rPr>
      </w:pPr>
      <w:r>
        <w:rPr>
          <w:rFonts w:ascii="Times New Roman" w:hAnsi="Times New Roman"/>
          <w:color w:val="000000"/>
          <w:sz w:val="28"/>
          <w:szCs w:val="28"/>
          <w:shd w:fill="auto" w:val="clear"/>
          <w:lang w:eastAsia="ru-RU"/>
        </w:rPr>
        <w:t xml:space="preserve">7. </w:t>
      </w:r>
      <w:r>
        <w:rPr>
          <w:rFonts w:cs="Times New Roman" w:ascii="Tinos" w:hAnsi="Tinos"/>
          <w:b w:val="false"/>
          <w:bCs w:val="false"/>
          <w:color w:val="000000"/>
          <w:sz w:val="28"/>
          <w:szCs w:val="28"/>
          <w:shd w:fill="auto" w:val="clear"/>
          <w:lang w:eastAsia="ru-RU"/>
        </w:rPr>
        <w:t xml:space="preserve">Обслуживание системы ГЛОНАСС (движение школьных автобусов) и РНИС в сумме  928,1 тыс. рублей, </w:t>
      </w:r>
      <w:r>
        <w:rPr>
          <w:rFonts w:eastAsia="Times New Roman" w:cs="Times New Roman" w:ascii="Tinos" w:hAnsi="Tinos"/>
          <w:b w:val="false"/>
          <w:bCs w:val="false"/>
          <w:color w:val="000000"/>
          <w:sz w:val="28"/>
          <w:szCs w:val="28"/>
          <w:shd w:fill="auto" w:val="clear"/>
          <w:lang w:eastAsia="ru-RU"/>
        </w:rPr>
        <w:t>обслуживание 31 школьного автобуса</w:t>
      </w:r>
      <w:r>
        <w:rPr>
          <w:rFonts w:cs="Times New Roman" w:ascii="Tinos" w:hAnsi="Tinos"/>
          <w:b w:val="false"/>
          <w:bCs w:val="false"/>
          <w:color w:val="000000"/>
          <w:sz w:val="28"/>
          <w:szCs w:val="28"/>
          <w:shd w:fill="auto" w:val="clear"/>
          <w:lang w:eastAsia="ru-RU"/>
        </w:rPr>
        <w:t xml:space="preserve"> системы ГЛОНАСС, охвачено 100% транспорта данной системой. </w:t>
      </w:r>
    </w:p>
    <w:p>
      <w:pPr>
        <w:pStyle w:val="Normal"/>
        <w:spacing w:lineRule="auto" w:line="240" w:before="0" w:after="0"/>
        <w:ind w:firstLine="709"/>
        <w:jc w:val="both"/>
        <w:rPr>
          <w:sz w:val="28"/>
          <w:szCs w:val="28"/>
        </w:rPr>
      </w:pPr>
      <w:r>
        <w:rPr>
          <w:rFonts w:cs="Times New Roman" w:ascii="Times New Roman" w:hAnsi="Times New Roman"/>
          <w:color w:val="000000"/>
          <w:sz w:val="28"/>
          <w:szCs w:val="28"/>
          <w:shd w:fill="auto" w:val="clear"/>
        </w:rPr>
        <w:t xml:space="preserve">8. </w:t>
      </w:r>
      <w:r>
        <w:rPr>
          <w:rFonts w:ascii="Times New Roman" w:hAnsi="Times New Roman"/>
          <w:color w:val="000000"/>
          <w:sz w:val="28"/>
          <w:szCs w:val="28"/>
          <w:shd w:fill="auto" w:val="clear"/>
          <w:lang w:eastAsia="ru-RU"/>
        </w:rPr>
        <w:t>Ежегодное комиссионное обследование состояния автомобильных дорог на маршрутах движения школьных автобусов на начало учебного года проведено без денежных затрат. Перед началом учебного года проведено обследование состояния автомобильных дорог на маршрутах движения школьных автобусов комиссией в составе специалистов Управления образования, МКУ УДЖНП Прокопьевского муниципального района, инспектора ОГИБДД отдела МВД России по Прокопьевскому району, МКУ «ТУ ПМО»</w:t>
      </w:r>
      <w:r>
        <w:rPr>
          <w:rFonts w:cs="Times New Roman" w:ascii="Times New Roman" w:hAnsi="Times New Roman"/>
          <w:color w:val="000000"/>
          <w:sz w:val="28"/>
          <w:szCs w:val="28"/>
          <w:shd w:fill="auto" w:val="clear"/>
        </w:rPr>
        <w:t>;</w:t>
      </w:r>
    </w:p>
    <w:p>
      <w:pPr>
        <w:pStyle w:val="Normal"/>
        <w:spacing w:lineRule="auto" w:line="240" w:before="0" w:after="0"/>
        <w:ind w:firstLine="709"/>
        <w:jc w:val="both"/>
        <w:rPr>
          <w:sz w:val="28"/>
          <w:szCs w:val="28"/>
        </w:rPr>
      </w:pPr>
      <w:r>
        <w:rPr>
          <w:rFonts w:cs="Times New Roman" w:ascii="Times New Roman" w:hAnsi="Times New Roman"/>
          <w:sz w:val="28"/>
          <w:szCs w:val="28"/>
          <w:shd w:fill="auto" w:val="clear"/>
        </w:rPr>
        <w:t xml:space="preserve">9. </w:t>
      </w:r>
      <w:r>
        <w:rPr>
          <w:rFonts w:ascii="Times New Roman" w:hAnsi="Times New Roman"/>
          <w:sz w:val="28"/>
          <w:szCs w:val="28"/>
          <w:shd w:fill="auto" w:val="clear"/>
          <w:lang w:eastAsia="ru-RU"/>
        </w:rPr>
        <w:t xml:space="preserve">Мероприятия в области дорожного хозяйства – </w:t>
      </w:r>
      <w:r>
        <w:rPr>
          <w:rFonts w:eastAsia="Times New Roman" w:cs="Times New Roman" w:ascii="Times New Roman" w:hAnsi="Times New Roman"/>
          <w:color w:val="000000"/>
          <w:sz w:val="28"/>
          <w:szCs w:val="28"/>
          <w:shd w:fill="auto" w:val="clear"/>
          <w:lang w:eastAsia="ru-RU"/>
        </w:rPr>
        <w:t>161 892,40</w:t>
      </w:r>
      <w:r>
        <w:rPr>
          <w:rFonts w:ascii="Times New Roman" w:hAnsi="Times New Roman"/>
          <w:sz w:val="28"/>
          <w:szCs w:val="28"/>
          <w:shd w:fill="auto" w:val="clear"/>
          <w:lang w:eastAsia="ru-RU"/>
        </w:rPr>
        <w:t xml:space="preserve">тыс. рублей, </w:t>
      </w:r>
      <w:r>
        <w:rPr>
          <w:rFonts w:ascii="Tinos" w:hAnsi="Tinos"/>
          <w:sz w:val="28"/>
          <w:szCs w:val="28"/>
          <w:shd w:fill="auto" w:val="clear"/>
          <w:lang w:eastAsia="ru-RU"/>
        </w:rPr>
        <w:t xml:space="preserve">включают </w:t>
      </w:r>
      <w:r>
        <w:rPr>
          <w:rFonts w:ascii="Tinos" w:hAnsi="Tinos"/>
          <w:color w:val="000000"/>
          <w:sz w:val="28"/>
          <w:szCs w:val="28"/>
          <w:shd w:fill="auto" w:val="clear"/>
          <w:lang w:eastAsia="ru-RU"/>
        </w:rPr>
        <w:t>следующие направления:</w:t>
      </w:r>
    </w:p>
    <w:p>
      <w:pPr>
        <w:pStyle w:val="Normal"/>
        <w:spacing w:lineRule="auto" w:line="240" w:before="0" w:after="0"/>
        <w:ind w:firstLine="709"/>
        <w:jc w:val="both"/>
        <w:rPr>
          <w:sz w:val="28"/>
          <w:szCs w:val="28"/>
        </w:rPr>
      </w:pPr>
      <w:r>
        <w:rPr>
          <w:rFonts w:ascii="Tinos" w:hAnsi="Tinos"/>
          <w:color w:val="FF0000"/>
          <w:sz w:val="28"/>
          <w:szCs w:val="28"/>
          <w:shd w:fill="auto" w:val="clear"/>
          <w:lang w:eastAsia="ru-RU"/>
        </w:rPr>
        <w:t>-</w:t>
      </w:r>
      <w:r>
        <w:rPr>
          <w:rFonts w:eastAsia="Times New Roman" w:cs="Times New Roman" w:ascii="Tinos" w:hAnsi="Tinos"/>
          <w:color w:val="000000"/>
          <w:sz w:val="28"/>
          <w:szCs w:val="28"/>
          <w:shd w:fill="auto" w:val="clear"/>
          <w:lang w:eastAsia="ru-RU"/>
        </w:rPr>
        <w:t>Отсыпка дорог (Приобретение технической соли (галит) противогололедный реагент – 80000,00 кг., галит концентрат минеральный в МКР- 40 тонн. Приобретение щебня светло серого цвета фракции 0-10 в объеме 680 куб. м.,), п</w:t>
      </w:r>
      <w:r>
        <w:rPr>
          <w:rFonts w:eastAsia="Times New Roman" w:cs="Times New Roman" w:ascii="Tinos" w:hAnsi="Tinos"/>
          <w:bCs/>
          <w:color w:val="000000"/>
          <w:sz w:val="28"/>
          <w:szCs w:val="28"/>
          <w:shd w:fill="auto" w:val="clear"/>
          <w:lang w:eastAsia="ru-RU"/>
        </w:rPr>
        <w:t>оставка противогололедных материалов  (песок, соль, песко-соленная смесь и тд. 173 т.);</w:t>
      </w:r>
    </w:p>
    <w:p>
      <w:pPr>
        <w:pStyle w:val="Normal"/>
        <w:spacing w:lineRule="auto" w:line="240" w:before="0" w:after="0"/>
        <w:ind w:firstLine="709"/>
        <w:jc w:val="both"/>
        <w:rPr>
          <w:sz w:val="28"/>
          <w:szCs w:val="28"/>
        </w:rPr>
      </w:pPr>
      <w:r>
        <w:rPr>
          <w:rFonts w:ascii="Times New Roman" w:hAnsi="Times New Roman"/>
          <w:color w:val="000000"/>
          <w:sz w:val="28"/>
          <w:szCs w:val="28"/>
          <w:shd w:fill="auto" w:val="clear"/>
          <w:lang w:eastAsia="ru-RU"/>
        </w:rPr>
        <w:t>- Чистка дорог,  сезонное содержание дорог (услуги по очистке дорог от снега в населенных пунктах Прокопьевского муниципального округа, приобретение ГСМ на Трудармейский участок МКУ УДЖНП</w:t>
      </w:r>
      <w:r>
        <w:rPr>
          <w:rFonts w:eastAsia="Times New Roman" w:cs="Times New Roman"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 </w:t>
      </w:r>
      <w:r>
        <w:rPr>
          <w:rFonts w:eastAsia="Times New Roman" w:cs="Times New Roman" w:ascii="Times New Roman" w:hAnsi="Times New Roman"/>
          <w:bCs w:val="false"/>
          <w:iCs w:val="false"/>
          <w:color w:val="000000"/>
          <w:sz w:val="28"/>
          <w:szCs w:val="28"/>
          <w:shd w:fill="auto" w:val="clear"/>
          <w:lang w:eastAsia="ru-RU"/>
        </w:rPr>
        <w:t>Выполнение работ по содержанию и отчистки дорог от снега ПМО, приобретение 3  остановочных павильона, разработка проектов организации дорожного движения;</w:t>
      </w:r>
    </w:p>
    <w:p>
      <w:pPr>
        <w:pStyle w:val="Normal"/>
        <w:jc w:val="both"/>
        <w:rPr>
          <w:sz w:val="28"/>
          <w:szCs w:val="28"/>
        </w:rPr>
      </w:pPr>
      <w:r>
        <w:rPr>
          <w:rFonts w:ascii="Times New Roman" w:hAnsi="Times New Roman"/>
          <w:color w:val="000000"/>
          <w:sz w:val="28"/>
          <w:szCs w:val="28"/>
          <w:shd w:fill="auto" w:val="clear"/>
          <w:lang w:eastAsia="ru-RU"/>
        </w:rPr>
        <w:t>- Выполнение дорожных работ, направленных на повышение безопасности дорожного движения (капитальный и текущий ремонт дорог, строительство тротуаров в соответствии с требованиями безопасности дорожного движения) -</w:t>
      </w:r>
      <w:r>
        <w:rPr>
          <w:rFonts w:eastAsia="Times New Roman" w:cs="Times New Roman" w:ascii="Times New Roman" w:hAnsi="Times New Roman"/>
          <w:color w:val="000000"/>
          <w:sz w:val="28"/>
          <w:szCs w:val="28"/>
          <w:shd w:fill="auto" w:val="clear"/>
          <w:lang w:eastAsia="ru-RU"/>
        </w:rPr>
        <w:t xml:space="preserve"> Текущий ремонт асфальтобетонного покрытия дорог, ямочный ремонт дорог Прокопьевского муниципального округа на общую сумму 25 546,50 тыс. рублей; </w:t>
      </w:r>
      <w:r>
        <w:rPr>
          <w:rFonts w:ascii="Times New Roman" w:hAnsi="Times New Roman"/>
          <w:color w:val="000000"/>
          <w:sz w:val="28"/>
          <w:szCs w:val="28"/>
          <w:shd w:fill="auto" w:val="clear"/>
          <w:lang w:eastAsia="ru-RU"/>
        </w:rPr>
        <w:t>- Установка, приобретение дорожных знаков в соответствии со схемами дислокации дорожных знаков и нанесение дорожной разметки на сумму 423,800 рублей. Установка дорожных знаков: 1.  Бурлаковский  3 знака – 4,400 руб.;  2. Каменноключевской  ТО 40 знаков  - 133,68 руб.; 3. Кузбасский ТО 4 знака - 15,36 руб.; 4. Сафоновский ТО 130 — сигнальных столбиков, 21- знак 142,853 руб.; 5. Терентьевский 5 - знаков – 8,22 руб.; 6. Трудармейский 16 -  знаков -54,54 руб.; 7. Яснополянский ТО 14 знаков – 53,76 руб.; 8. Краснобродский ТО 5 – знаков – 14,06 руб.</w:t>
      </w:r>
    </w:p>
    <w:p>
      <w:pPr>
        <w:pStyle w:val="Normal"/>
        <w:jc w:val="both"/>
        <w:rPr>
          <w:sz w:val="28"/>
          <w:szCs w:val="28"/>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Пешеходное ограждение</w:t>
      </w:r>
      <w:r>
        <w:rPr>
          <w:rFonts w:eastAsia="Times New Roman" w:cs="Times New Roman" w:ascii="Times New Roman" w:hAnsi="Times New Roman"/>
          <w:color w:val="000000"/>
          <w:sz w:val="28"/>
          <w:szCs w:val="28"/>
          <w:shd w:fill="auto" w:val="clear"/>
          <w:lang w:eastAsia="ru-RU"/>
        </w:rPr>
        <w:t xml:space="preserve"> пгт. Краснобродский</w:t>
      </w:r>
      <w:r>
        <w:rPr>
          <w:rFonts w:ascii="Times New Roman" w:hAnsi="Times New Roman"/>
          <w:color w:val="000000"/>
          <w:sz w:val="28"/>
          <w:szCs w:val="28"/>
          <w:shd w:fill="auto" w:val="clear"/>
          <w:lang w:eastAsia="ru-RU"/>
        </w:rPr>
        <w:t xml:space="preserve">  на общую сумму 107,9 тыс. руб.</w:t>
      </w:r>
    </w:p>
    <w:p>
      <w:pPr>
        <w:pStyle w:val="Normal"/>
        <w:spacing w:lineRule="auto" w:line="240" w:before="0" w:after="0"/>
        <w:jc w:val="both"/>
        <w:rPr>
          <w:sz w:val="28"/>
          <w:szCs w:val="28"/>
        </w:rPr>
      </w:pPr>
      <w:r>
        <w:rPr>
          <w:rFonts w:ascii="Tinos" w:hAnsi="Tinos"/>
          <w:color w:val="000000"/>
          <w:sz w:val="28"/>
          <w:szCs w:val="28"/>
          <w:shd w:fill="auto" w:val="clear"/>
          <w:lang w:eastAsia="ru-RU"/>
        </w:rPr>
        <w:t>-</w:t>
      </w:r>
      <w:r>
        <w:rPr>
          <w:rFonts w:ascii="Tinos" w:hAnsi="Tinos"/>
          <w:i w:val="false"/>
          <w:iCs w:val="false"/>
          <w:color w:val="000000"/>
          <w:sz w:val="28"/>
          <w:szCs w:val="28"/>
          <w:shd w:fill="auto" w:val="clear"/>
          <w:lang w:eastAsia="ru-RU"/>
        </w:rPr>
        <w:t xml:space="preserve"> Обеспечение дорожной деятельности в отношении  автомобильных дорог общего пользования местного значения и искусственных дорожных сооружений на них на сумму 57 547,50 тыс. руб. (областной бюджет 46 038,00 тыс. руб. местный бюджет 11 509,50 тыс. руб.)</w:t>
      </w:r>
      <w:r>
        <w:rPr>
          <w:rFonts w:eastAsia="Times New Roman" w:cs="Times New Roman" w:ascii="Tinos" w:hAnsi="Tinos"/>
          <w:b/>
          <w:i w:val="false"/>
          <w:iCs w:val="false"/>
          <w:color w:val="000000"/>
          <w:sz w:val="28"/>
          <w:szCs w:val="28"/>
          <w:shd w:fill="auto" w:val="clear"/>
          <w:lang w:eastAsia="ru-RU"/>
        </w:rPr>
        <w:t xml:space="preserve"> </w:t>
      </w:r>
    </w:p>
    <w:p>
      <w:pPr>
        <w:pStyle w:val="Normal"/>
        <w:spacing w:lineRule="auto" w:line="240" w:before="0" w:after="0"/>
        <w:jc w:val="both"/>
        <w:rPr>
          <w:sz w:val="28"/>
          <w:szCs w:val="28"/>
        </w:rPr>
      </w:pPr>
      <w:r>
        <w:rPr>
          <w:rFonts w:eastAsia="Times New Roman" w:cs="Times New Roman" w:ascii="Tinos" w:hAnsi="Tinos"/>
          <w:b/>
          <w:i w:val="false"/>
          <w:iCs w:val="false"/>
          <w:color w:val="000000"/>
          <w:sz w:val="28"/>
          <w:szCs w:val="28"/>
          <w:shd w:fill="auto" w:val="clear"/>
          <w:lang w:eastAsia="ru-RU"/>
        </w:rPr>
        <w:t xml:space="preserve">Текущий ремонт асфальтобетонного покрытия дорожного полотна, нанесение дорожной разметки по ул.Молодежная, п. Артышта </w:t>
      </w:r>
      <w:r>
        <w:rPr>
          <w:rFonts w:eastAsia="Times New Roman" w:cs="Times New Roman" w:ascii="Tinos" w:hAnsi="Tinos"/>
          <w:i w:val="false"/>
          <w:iCs w:val="false"/>
          <w:color w:val="000000"/>
          <w:sz w:val="28"/>
          <w:szCs w:val="28"/>
          <w:shd w:fill="auto" w:val="clear"/>
          <w:lang w:eastAsia="ru-RU"/>
        </w:rPr>
        <w:t xml:space="preserve"> (0,71 км итого: 9 401,05 тыс. руб. в том числе:  обл. бюджет -7 520,84 тыс. руб., мест. бюджет  - 1 880,21 тыс. руб.);</w:t>
      </w:r>
    </w:p>
    <w:p>
      <w:pPr>
        <w:pStyle w:val="Normal"/>
        <w:spacing w:lineRule="auto" w:line="240" w:before="0" w:after="0"/>
        <w:jc w:val="both"/>
        <w:rPr>
          <w:sz w:val="28"/>
          <w:szCs w:val="28"/>
        </w:rPr>
      </w:pPr>
      <w:r>
        <w:rPr>
          <w:rFonts w:eastAsia="Times New Roman" w:cs="Times New Roman" w:ascii="Tinos" w:hAnsi="Tinos"/>
          <w:b/>
          <w:i w:val="false"/>
          <w:iCs w:val="false"/>
          <w:color w:val="000000"/>
          <w:sz w:val="28"/>
          <w:szCs w:val="28"/>
          <w:shd w:fill="auto" w:val="clear"/>
          <w:lang w:eastAsia="ru-RU"/>
        </w:rPr>
        <w:t xml:space="preserve">Текущий ремонт асфальтобетонного покрытия дорожного полотна, от ул.Октябрьская,20 до у.Заречная д.26 п. Калачево </w:t>
      </w:r>
      <w:r>
        <w:rPr>
          <w:rFonts w:eastAsia="Times New Roman" w:cs="Times New Roman" w:ascii="Tinos" w:hAnsi="Tinos"/>
          <w:i w:val="false"/>
          <w:iCs w:val="false"/>
          <w:color w:val="000000"/>
          <w:sz w:val="28"/>
          <w:szCs w:val="28"/>
          <w:shd w:fill="auto" w:val="clear"/>
          <w:lang w:eastAsia="ru-RU"/>
        </w:rPr>
        <w:t xml:space="preserve"> (0,5 км итого: 3 797,44 тыс. руб. в том числе:  обл. бюджет -9 037,95 тыс. руб., мест. Бюджет  - 759,49 тыс. руб.);</w:t>
      </w:r>
    </w:p>
    <w:p>
      <w:pPr>
        <w:pStyle w:val="Normal"/>
        <w:spacing w:lineRule="auto" w:line="240" w:before="0" w:after="0"/>
        <w:jc w:val="both"/>
        <w:rPr>
          <w:sz w:val="28"/>
          <w:szCs w:val="28"/>
        </w:rPr>
      </w:pPr>
      <w:r>
        <w:rPr>
          <w:rFonts w:eastAsia="Times New Roman" w:cs="Times New Roman" w:ascii="Tinos" w:hAnsi="Tinos"/>
          <w:b/>
          <w:i w:val="false"/>
          <w:iCs w:val="false"/>
          <w:color w:val="000000"/>
          <w:sz w:val="28"/>
          <w:szCs w:val="28"/>
          <w:shd w:fill="auto" w:val="clear"/>
          <w:lang w:eastAsia="ru-RU"/>
        </w:rPr>
        <w:t>Текущий ремонт асфальтобетонного покрытия дорожного полотна, по ул.Фабричная п.Трудармейский</w:t>
      </w:r>
      <w:r>
        <w:rPr>
          <w:rFonts w:eastAsia="Times New Roman" w:cs="Times New Roman" w:ascii="Tinos" w:hAnsi="Tinos"/>
          <w:i w:val="false"/>
          <w:iCs w:val="false"/>
          <w:color w:val="000000"/>
          <w:sz w:val="28"/>
          <w:szCs w:val="28"/>
          <w:shd w:fill="auto" w:val="clear"/>
          <w:lang w:eastAsia="ru-RU"/>
        </w:rPr>
        <w:t xml:space="preserve"> (0,497 км итого: 9 520,84 тыс. руб. в том числе:  обл. бюджет -7 616,67 тыс. руб., мест. Бюджет  - 1 904,17 тыс. руб.);</w:t>
      </w:r>
    </w:p>
    <w:p>
      <w:pPr>
        <w:pStyle w:val="Normal"/>
        <w:spacing w:lineRule="auto" w:line="240" w:before="0" w:after="0"/>
        <w:jc w:val="both"/>
        <w:rPr>
          <w:sz w:val="28"/>
          <w:szCs w:val="28"/>
        </w:rPr>
      </w:pPr>
      <w:r>
        <w:rPr>
          <w:rFonts w:eastAsia="Times New Roman" w:cs="Times New Roman" w:ascii="Tinos" w:hAnsi="Tinos"/>
          <w:b/>
          <w:i w:val="false"/>
          <w:iCs w:val="false"/>
          <w:color w:val="000000"/>
          <w:sz w:val="28"/>
          <w:szCs w:val="28"/>
          <w:shd w:fill="auto" w:val="clear"/>
          <w:lang w:eastAsia="ru-RU"/>
        </w:rPr>
        <w:t xml:space="preserve">Текущий ремонт асфальтобетонного покрытия дорожного полотна, ул.Новая д.5-д.18 пгт. Краснобродский </w:t>
      </w:r>
      <w:r>
        <w:rPr>
          <w:rFonts w:eastAsia="Times New Roman" w:cs="Times New Roman" w:ascii="Tinos" w:hAnsi="Tinos"/>
          <w:i w:val="false"/>
          <w:iCs w:val="false"/>
          <w:color w:val="000000"/>
          <w:sz w:val="28"/>
          <w:szCs w:val="28"/>
          <w:shd w:fill="auto" w:val="clear"/>
          <w:lang w:eastAsia="ru-RU"/>
        </w:rPr>
        <w:t xml:space="preserve"> (0,5 км итого: 5 457,09 тыс. руб. в том числе:  обл. бюджет -4 365,67 тыс. руб., мест. Бюджет  - 1091,42 тыс. руб.);</w:t>
      </w:r>
    </w:p>
    <w:p>
      <w:pPr>
        <w:pStyle w:val="Normal"/>
        <w:spacing w:lineRule="auto" w:line="240" w:before="0" w:after="0"/>
        <w:jc w:val="both"/>
        <w:rPr>
          <w:sz w:val="28"/>
          <w:szCs w:val="28"/>
        </w:rPr>
      </w:pPr>
      <w:r>
        <w:rPr>
          <w:rFonts w:eastAsia="Times New Roman" w:cs="Times New Roman" w:ascii="Tinos" w:hAnsi="Tinos"/>
          <w:b/>
          <w:i w:val="false"/>
          <w:iCs w:val="false"/>
          <w:color w:val="000000"/>
          <w:sz w:val="28"/>
          <w:szCs w:val="28"/>
          <w:shd w:fill="auto" w:val="clear"/>
          <w:lang w:eastAsia="ru-RU"/>
        </w:rPr>
        <w:t xml:space="preserve">Текущий ремонт асфальтобетонного покрытия дорожного полотна, ул.Луговая от ул. Интернациональная до ул. Ломоносова пгт. Краснобродский </w:t>
      </w:r>
      <w:r>
        <w:rPr>
          <w:rFonts w:eastAsia="Times New Roman" w:cs="Times New Roman" w:ascii="Tinos" w:hAnsi="Tinos"/>
          <w:i w:val="false"/>
          <w:iCs w:val="false"/>
          <w:color w:val="000000"/>
          <w:sz w:val="28"/>
          <w:szCs w:val="28"/>
          <w:shd w:fill="auto" w:val="clear"/>
          <w:lang w:eastAsia="ru-RU"/>
        </w:rPr>
        <w:t xml:space="preserve"> (0,88 км итого: 6 957,16 тыс. руб. в том числе:  обл. бюджет — 5 565,73 тыс. руб., мест. Бюджет  - 1 391,43 тыс. руб.);</w:t>
      </w:r>
    </w:p>
    <w:p>
      <w:pPr>
        <w:pStyle w:val="Normal"/>
        <w:spacing w:lineRule="auto" w:line="240" w:before="0" w:after="0"/>
        <w:jc w:val="both"/>
        <w:rPr>
          <w:sz w:val="28"/>
          <w:szCs w:val="28"/>
        </w:rPr>
      </w:pPr>
      <w:r>
        <w:rPr>
          <w:rFonts w:eastAsia="Times New Roman" w:cs="Times New Roman" w:ascii="Tinos" w:hAnsi="Tinos"/>
          <w:b/>
          <w:i w:val="false"/>
          <w:iCs w:val="false"/>
          <w:color w:val="000000"/>
          <w:sz w:val="28"/>
          <w:szCs w:val="28"/>
          <w:shd w:fill="auto" w:val="clear"/>
          <w:lang w:eastAsia="ru-RU"/>
        </w:rPr>
        <w:t xml:space="preserve">Текущий ремонт асфальтобетонного покрытия дорожного полотна, ул.Южная от ул.Гагарина до ул. Восточная пгт. Краснобродский </w:t>
      </w:r>
      <w:r>
        <w:rPr>
          <w:rFonts w:eastAsia="Times New Roman" w:cs="Times New Roman" w:ascii="Tinos" w:hAnsi="Tinos"/>
          <w:i w:val="false"/>
          <w:iCs w:val="false"/>
          <w:color w:val="000000"/>
          <w:sz w:val="28"/>
          <w:szCs w:val="28"/>
          <w:shd w:fill="auto" w:val="clear"/>
          <w:lang w:eastAsia="ru-RU"/>
        </w:rPr>
        <w:t xml:space="preserve"> (0,59 км итого: 5 556,09 тыс. руб. в том числе:  обл. бюджет — 4 444,87 тыс. руб., мест. Бюджет  - 1 111,22тыс. Руб.);</w:t>
      </w:r>
    </w:p>
    <w:p>
      <w:pPr>
        <w:pStyle w:val="Normal"/>
        <w:spacing w:lineRule="auto" w:line="240" w:before="0" w:after="0"/>
        <w:jc w:val="both"/>
        <w:rPr>
          <w:sz w:val="28"/>
          <w:szCs w:val="28"/>
        </w:rPr>
      </w:pPr>
      <w:r>
        <w:rPr>
          <w:rFonts w:eastAsia="Times New Roman" w:cs="Times New Roman" w:ascii="Tinos" w:hAnsi="Tinos"/>
          <w:b/>
          <w:i w:val="false"/>
          <w:iCs w:val="false"/>
          <w:color w:val="000000"/>
          <w:sz w:val="28"/>
          <w:szCs w:val="28"/>
          <w:shd w:fill="auto" w:val="clear"/>
          <w:lang w:eastAsia="ru-RU"/>
        </w:rPr>
        <w:t xml:space="preserve">Текущий ремонт асфальтобетонного покрытия дорожного полотна, пер.Угольный от ул.Гагарина до ул. Тимофеева пгт. Краснобродский </w:t>
      </w:r>
      <w:r>
        <w:rPr>
          <w:rFonts w:eastAsia="Times New Roman" w:cs="Times New Roman" w:ascii="Tinos" w:hAnsi="Tinos"/>
          <w:i w:val="false"/>
          <w:iCs w:val="false"/>
          <w:color w:val="000000"/>
          <w:sz w:val="28"/>
          <w:szCs w:val="28"/>
          <w:shd w:fill="auto" w:val="clear"/>
          <w:lang w:eastAsia="ru-RU"/>
        </w:rPr>
        <w:t xml:space="preserve"> (0,675 км итого: 6 124,22 тыс. руб. в том числе:  обл. бюджет — 4 899,38 тыс. руб., мест. Бюджет  - 1 224,84 тыс. руб.);</w:t>
      </w:r>
    </w:p>
    <w:p>
      <w:pPr>
        <w:pStyle w:val="Normal"/>
        <w:spacing w:lineRule="auto" w:line="240" w:before="0" w:after="0"/>
        <w:jc w:val="both"/>
        <w:rPr>
          <w:sz w:val="28"/>
          <w:szCs w:val="28"/>
        </w:rPr>
      </w:pPr>
      <w:r>
        <w:rPr>
          <w:rFonts w:eastAsia="Times New Roman" w:cs="Times New Roman" w:ascii="Tinos" w:hAnsi="Tinos"/>
          <w:b/>
          <w:i w:val="false"/>
          <w:iCs w:val="false"/>
          <w:color w:val="000000"/>
          <w:sz w:val="28"/>
          <w:szCs w:val="28"/>
          <w:shd w:fill="auto" w:val="clear"/>
          <w:lang w:eastAsia="ru-RU"/>
        </w:rPr>
        <w:t xml:space="preserve">Текущий ремонт асфальтобетонного покрытия дорожного полотна,нанесение дорожной разметки по ул. Кузнецкая п. Калачево </w:t>
      </w:r>
      <w:r>
        <w:rPr>
          <w:rFonts w:eastAsia="Times New Roman" w:cs="Times New Roman" w:ascii="Tinos" w:hAnsi="Tinos"/>
          <w:i w:val="false"/>
          <w:iCs w:val="false"/>
          <w:color w:val="000000"/>
          <w:sz w:val="28"/>
          <w:szCs w:val="28"/>
          <w:shd w:fill="auto" w:val="clear"/>
          <w:lang w:eastAsia="ru-RU"/>
        </w:rPr>
        <w:t xml:space="preserve"> (0,74км итого: 4 691,41 тыс. руб. в том числе:  обл. бюджет — 3 753,13 тыс. руб., мест. Бюджет  - 938,28 тыс. руб.);</w:t>
      </w:r>
    </w:p>
    <w:p>
      <w:pPr>
        <w:pStyle w:val="Normal"/>
        <w:spacing w:lineRule="auto" w:line="240" w:before="0" w:after="0"/>
        <w:jc w:val="both"/>
        <w:rPr>
          <w:sz w:val="28"/>
          <w:szCs w:val="28"/>
        </w:rPr>
      </w:pPr>
      <w:r>
        <w:rPr>
          <w:rFonts w:eastAsia="Times New Roman" w:cs="Times New Roman" w:ascii="Tinos" w:hAnsi="Tinos"/>
          <w:b/>
          <w:i w:val="false"/>
          <w:iCs w:val="false"/>
          <w:color w:val="000000"/>
          <w:sz w:val="28"/>
          <w:szCs w:val="28"/>
          <w:shd w:fill="auto" w:val="clear"/>
          <w:lang w:eastAsia="ru-RU"/>
        </w:rPr>
        <w:t xml:space="preserve">Текущий ремонт асфальтобетонного покрытия дорожного полотна, ул. Болотная, 2-33 пгт. Краснобродский </w:t>
      </w:r>
      <w:r>
        <w:rPr>
          <w:rFonts w:eastAsia="Times New Roman" w:cs="Times New Roman" w:ascii="Tinos" w:hAnsi="Tinos"/>
          <w:i w:val="false"/>
          <w:iCs w:val="false"/>
          <w:color w:val="000000"/>
          <w:sz w:val="28"/>
          <w:szCs w:val="28"/>
          <w:shd w:fill="auto" w:val="clear"/>
          <w:lang w:eastAsia="ru-RU"/>
        </w:rPr>
        <w:t xml:space="preserve"> (0,63 км итого: 6 042,20 тыс. руб. в том числе:  обл. бюджет — 4 833,76 тыс. руб., мест. Бюджет  - 1 208,44 тыс. руб.);</w:t>
      </w:r>
    </w:p>
    <w:p>
      <w:pPr>
        <w:pStyle w:val="Normal"/>
        <w:spacing w:lineRule="auto" w:line="240" w:before="0" w:after="0"/>
        <w:ind w:firstLine="709"/>
        <w:jc w:val="both"/>
        <w:rPr>
          <w:sz w:val="28"/>
          <w:szCs w:val="28"/>
        </w:rPr>
      </w:pPr>
      <w:r>
        <w:rPr>
          <w:rFonts w:cs="Times New Roman" w:ascii="Tinos" w:hAnsi="Tinos"/>
          <w:i w:val="false"/>
          <w:iCs w:val="false"/>
          <w:color w:val="000000"/>
          <w:sz w:val="28"/>
          <w:szCs w:val="28"/>
          <w:shd w:fill="auto" w:val="clear"/>
        </w:rPr>
        <w:t>10. Мероприятия по подготовке технической документации объектов недвижимости (дороги) для регистрации права</w:t>
      </w:r>
      <w:r>
        <w:rPr>
          <w:rFonts w:ascii="Tinos" w:hAnsi="Tinos"/>
          <w:i w:val="false"/>
          <w:iCs w:val="false"/>
          <w:color w:val="000000"/>
          <w:sz w:val="28"/>
          <w:szCs w:val="28"/>
          <w:shd w:fill="auto" w:val="clear"/>
          <w:lang w:eastAsia="ru-RU"/>
        </w:rPr>
        <w:t xml:space="preserve"> в 2025 году </w:t>
      </w:r>
      <w:r>
        <w:rPr>
          <w:rFonts w:cs="Times New Roman" w:ascii="Tinos" w:hAnsi="Tinos"/>
          <w:i w:val="false"/>
          <w:iCs w:val="false"/>
          <w:color w:val="000000"/>
          <w:sz w:val="28"/>
          <w:szCs w:val="28"/>
          <w:shd w:fill="auto" w:val="clear"/>
        </w:rPr>
        <w:t>без денежных затрат;</w:t>
      </w:r>
    </w:p>
    <w:p>
      <w:pPr>
        <w:pStyle w:val="Normal"/>
        <w:spacing w:lineRule="auto" w:line="240" w:before="0" w:after="0"/>
        <w:ind w:firstLine="709"/>
        <w:jc w:val="both"/>
        <w:rPr>
          <w:sz w:val="28"/>
          <w:szCs w:val="28"/>
        </w:rPr>
      </w:pPr>
      <w:r>
        <w:rPr>
          <w:rFonts w:cs="Times New Roman" w:ascii="Tinos" w:hAnsi="Tinos"/>
          <w:i w:val="false"/>
          <w:iCs w:val="false"/>
          <w:color w:val="000000"/>
          <w:sz w:val="28"/>
          <w:szCs w:val="28"/>
          <w:shd w:fill="auto" w:val="clear"/>
        </w:rPr>
        <w:t xml:space="preserve">11. </w:t>
      </w:r>
      <w:r>
        <w:rPr>
          <w:rFonts w:eastAsia="Times New Roman" w:cs="Times New Roman" w:ascii="Times New Roman" w:hAnsi="Times New Roman"/>
          <w:bCs w:val="false"/>
          <w:i w:val="false"/>
          <w:iCs w:val="false"/>
          <w:color w:val="000000"/>
          <w:sz w:val="28"/>
          <w:szCs w:val="28"/>
          <w:shd w:fill="auto" w:val="clear"/>
          <w:lang w:eastAsia="ru-RU"/>
        </w:rPr>
        <w:t>Выполнение работ по устройству и содержанию уличного освещения на сумму 38 245,00 тыс. рублей  (ремонт уличного освещения, приобретение материалов, присоединение ТП) (оплата за электроэнергию уличное освещение ПМО и приобретение материалов для установки уличного освещения (приобретены светодиодные светильники 250 шт. и провод).</w:t>
      </w:r>
    </w:p>
    <w:p>
      <w:pPr>
        <w:pStyle w:val="Normal"/>
        <w:widowControl w:val="false"/>
        <w:jc w:val="center"/>
        <w:rPr>
          <w:rFonts w:ascii="Tinos" w:hAnsi="Tinos" w:cs="Times New Roman"/>
          <w:i w:val="false"/>
          <w:i w:val="false"/>
          <w:iCs w:val="false"/>
          <w:sz w:val="28"/>
          <w:szCs w:val="28"/>
          <w:highlight w:val="none"/>
          <w:shd w:fill="auto" w:val="clear"/>
        </w:rPr>
      </w:pPr>
      <w:r>
        <w:rPr>
          <w:rFonts w:cs="Times New Roman" w:ascii="Tinos" w:hAnsi="Tinos"/>
          <w:i w:val="false"/>
          <w:iCs w:val="false"/>
          <w:sz w:val="28"/>
          <w:szCs w:val="28"/>
          <w:shd w:fill="auto" w:val="clear"/>
        </w:rPr>
      </w:r>
    </w:p>
    <w:p>
      <w:pPr>
        <w:pStyle w:val="Normal"/>
        <w:widowControl w:val="false"/>
        <w:jc w:val="center"/>
        <w:rPr>
          <w:rFonts w:ascii="Tinos" w:hAnsi="Tinos" w:cs="Times New Roman"/>
          <w:i w:val="false"/>
          <w:i w:val="false"/>
          <w:iCs w:val="false"/>
          <w:sz w:val="28"/>
          <w:szCs w:val="28"/>
          <w:highlight w:val="none"/>
          <w:shd w:fill="FFFF00" w:val="clear"/>
        </w:rPr>
      </w:pPr>
      <w:r>
        <w:rPr>
          <w:rFonts w:cs="Times New Roman" w:ascii="Tinos" w:hAnsi="Tinos"/>
          <w:i w:val="false"/>
          <w:iCs w:val="false"/>
          <w:sz w:val="28"/>
          <w:szCs w:val="28"/>
          <w:shd w:fill="FFFF00" w:val="clear"/>
        </w:rPr>
      </w:r>
    </w:p>
    <w:p>
      <w:pPr>
        <w:pStyle w:val="Normal"/>
        <w:widowControl w:val="false"/>
        <w:spacing w:lineRule="auto" w:line="240"/>
        <w:rPr>
          <w:sz w:val="28"/>
          <w:szCs w:val="28"/>
        </w:rPr>
      </w:pPr>
      <w:r>
        <w:rPr>
          <w:rFonts w:cs="Times New Roman" w:ascii="Tinos" w:hAnsi="Tinos"/>
          <w:i w:val="false"/>
          <w:iCs w:val="false"/>
          <w:sz w:val="28"/>
          <w:szCs w:val="28"/>
          <w:shd w:fill="auto" w:val="clear"/>
        </w:rPr>
        <w:t>Директор муниципальной программы                                             О.В. Пушкарева</w:t>
      </w:r>
    </w:p>
    <w:p>
      <w:pPr>
        <w:pStyle w:val="Normal"/>
        <w:rPr>
          <w:rFonts w:ascii="Tinos" w:hAnsi="Tinos"/>
          <w:i w:val="false"/>
          <w:i w:val="false"/>
          <w:iCs w:val="false"/>
          <w:sz w:val="28"/>
          <w:szCs w:val="28"/>
          <w:highlight w:val="none"/>
          <w:shd w:fill="auto" w:val="clear"/>
        </w:rPr>
      </w:pPr>
      <w:r>
        <w:rPr>
          <w:rFonts w:ascii="Tinos" w:hAnsi="Tinos"/>
          <w:i w:val="false"/>
          <w:iCs w:val="false"/>
          <w:sz w:val="28"/>
          <w:szCs w:val="28"/>
          <w:shd w:fill="auto" w:val="clear"/>
        </w:rPr>
      </w:r>
      <w:bookmarkStart w:id="0" w:name="_GoBack"/>
      <w:bookmarkStart w:id="1" w:name="_GoBack"/>
      <w:bookmarkEnd w:id="1"/>
    </w:p>
    <w:p>
      <w:pPr>
        <w:pStyle w:val="Normal"/>
        <w:spacing w:before="0" w:after="200"/>
        <w:rPr>
          <w:rFonts w:ascii="Tinos" w:hAnsi="Tinos" w:cs="Times New Roman"/>
          <w:i w:val="false"/>
          <w:i w:val="false"/>
          <w:iCs w:val="false"/>
          <w:sz w:val="28"/>
          <w:szCs w:val="28"/>
          <w:highlight w:val="none"/>
          <w:shd w:fill="auto" w:val="clear"/>
        </w:rPr>
      </w:pPr>
      <w:r>
        <w:rPr>
          <w:rFonts w:cs="Times New Roman" w:ascii="Tinos" w:hAnsi="Tinos"/>
          <w:i w:val="false"/>
          <w:iCs w:val="false"/>
          <w:sz w:val="28"/>
          <w:szCs w:val="28"/>
          <w:shd w:fill="auto" w:val="clear"/>
        </w:rPr>
      </w:r>
    </w:p>
    <w:sectPr>
      <w:type w:val="nextPage"/>
      <w:pgSz w:w="11906" w:h="16838"/>
      <w:pgMar w:left="1276"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roman"/>
    <w:pitch w:val="default"/>
  </w:font>
  <w:font w:name="PT Astra Serif">
    <w:charset w:val="01"/>
    <w:family w:val="roman"/>
    <w:pitch w:val="default"/>
  </w:font>
  <w:font w:name="Times New Roman">
    <w:charset w:val="01"/>
    <w:family w:val="roman"/>
    <w:pitch w:val="default"/>
  </w:font>
  <w:font w:name="Tinos">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ahoma"/>
      <w:color w:val="auto"/>
      <w:kern w:val="0"/>
      <w:sz w:val="22"/>
      <w:szCs w:val="22"/>
      <w:lang w:val="ru-RU" w:eastAsia="en-US" w:bidi="ar-SA"/>
    </w:rPr>
  </w:style>
  <w:style w:type="character" w:styleId="DefaultParagraphFont">
    <w:name w:val="Default Paragraph Font"/>
    <w:qFormat/>
    <w:rPr/>
  </w:style>
  <w:style w:type="character" w:styleId="Style14">
    <w:name w:val="Текст выноски Знак"/>
    <w:basedOn w:val="DefaultParagraphFont"/>
    <w:link w:val="BalloonText"/>
    <w:qFormat/>
    <w:rPr>
      <w:rFonts w:ascii="Tahoma" w:hAnsi="Tahoma" w:cs="Tahoma"/>
      <w:sz w:val="16"/>
      <w:szCs w:val="16"/>
    </w:rPr>
  </w:style>
  <w:style w:type="character" w:styleId="Strong">
    <w:name w:val="Strong"/>
    <w:basedOn w:val="DefaultParagraphFont"/>
    <w:qFormat/>
    <w:rPr>
      <w:b/>
      <w:bCs/>
    </w:rPr>
  </w:style>
  <w:style w:type="character" w:styleId="Annotationreference">
    <w:name w:val="annotation reference"/>
    <w:basedOn w:val="DefaultParagraphFont"/>
    <w:qFormat/>
    <w:rPr>
      <w:sz w:val="16"/>
      <w:szCs w:val="16"/>
    </w:rPr>
  </w:style>
  <w:style w:type="character" w:styleId="Style15">
    <w:name w:val="Текст примечания Знак"/>
    <w:basedOn w:val="DefaultParagraphFont"/>
    <w:qFormat/>
    <w:rPr>
      <w:sz w:val="20"/>
      <w:szCs w:val="20"/>
    </w:rPr>
  </w:style>
  <w:style w:type="character" w:styleId="Style16">
    <w:name w:val="Тема примечания Знак"/>
    <w:basedOn w:val="Style15"/>
    <w:link w:val="Annotationsubject"/>
    <w:qFormat/>
    <w:rPr>
      <w:b/>
      <w:bCs/>
      <w:sz w:val="20"/>
      <w:szCs w:val="20"/>
    </w:rPr>
  </w:style>
  <w:style w:type="character" w:styleId="-">
    <w:name w:val="Hyperlink"/>
    <w:rPr>
      <w:color w:val="000080"/>
      <w:u w:val="single"/>
    </w:rPr>
  </w:style>
  <w:style w:type="paragraph" w:styleId="Style17">
    <w:name w:val="Заголовок"/>
    <w:basedOn w:val="Normal"/>
    <w:next w:val="Style18"/>
    <w:qFormat/>
    <w:pPr>
      <w:keepNext w:val="true"/>
      <w:spacing w:before="240" w:after="120"/>
    </w:pPr>
    <w:rPr>
      <w:rFonts w:ascii="PT Astra Serif" w:hAnsi="PT Astra Serif" w:eastAsia="Tahoma" w:cs="Noto Sans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ascii="PT Astra Serif" w:hAnsi="PT Astra Serif" w:cs="Noto Sans Devanagari"/>
    </w:rPr>
  </w:style>
  <w:style w:type="paragraph" w:styleId="Style20">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BalloonText">
    <w:name w:val="Balloon Text"/>
    <w:basedOn w:val="Normal"/>
    <w:link w:val="Style14"/>
    <w:qFormat/>
    <w:pPr>
      <w:spacing w:lineRule="auto" w:line="240" w:before="0" w:after="0"/>
    </w:pPr>
    <w:rPr>
      <w:rFonts w:ascii="Tahoma" w:hAnsi="Tahoma" w:cs="Tahoma"/>
      <w:sz w:val="16"/>
      <w:szCs w:val="16"/>
    </w:rPr>
  </w:style>
  <w:style w:type="paragraph" w:styleId="ListParagraph">
    <w:name w:val="List Paragraph"/>
    <w:basedOn w:val="Normal"/>
    <w:qFormat/>
    <w:pPr>
      <w:spacing w:before="0" w:after="200"/>
      <w:ind w:left="720" w:hanging="0"/>
      <w:contextualSpacing/>
    </w:pPr>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Annotationtext">
    <w:name w:val="annotation text"/>
    <w:basedOn w:val="Normal"/>
    <w:link w:val="Style15"/>
    <w:qFormat/>
    <w:pPr>
      <w:spacing w:lineRule="auto" w:line="240"/>
    </w:pPr>
    <w:rPr>
      <w:sz w:val="20"/>
      <w:szCs w:val="20"/>
    </w:rPr>
  </w:style>
  <w:style w:type="paragraph" w:styleId="Annotationsubject">
    <w:name w:val="annotation subject"/>
    <w:basedOn w:val="Annotationtext"/>
    <w:next w:val="Annotationtext"/>
    <w:link w:val="Style16"/>
    <w:qFormat/>
    <w:pPr/>
    <w:rPr>
      <w:b/>
      <w:bCs/>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paragraph" w:styleId="Style24">
    <w:name w:val="Содержимое врезки"/>
    <w:basedOn w:val="Normal"/>
    <w:qFormat/>
    <w:pPr/>
    <w:rPr/>
  </w:style>
  <w:style w:type="numbering" w:styleId="Style25">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15238</TotalTime>
  <Application>LibreOffice/7.5.6.2$Linux_X86_64 LibreOffice_project/50$Build-2</Application>
  <AppVersion>15.0000</AppVersion>
  <Pages>14</Pages>
  <Words>3005</Words>
  <Characters>20052</Characters>
  <CharactersWithSpaces>23785</CharactersWithSpaces>
  <Paragraphs>424</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2024-02-16T09:13:00Z</dcterms:created>
  <dc:creator>M A X</dc:creator>
  <dc:description/>
  <dc:language>ru-RU</dc:language>
  <cp:lastModifiedBy/>
  <cp:lastPrinted>2026-04-09T14:43:23Z</cp:lastPrinted>
  <dcterms:modified xsi:type="dcterms:W3CDTF">2026-04-23T14:47:20Z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