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_rels/document.xml.rels" ContentType="application/vnd.openxmlformats-package.relationships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360"/>
        <w:ind w:left="0" w:right="-2" w:hanging="0"/>
        <w:jc w:val="center"/>
        <w:rPr>
          <w:rFonts w:ascii="Times New Roman" w:hAnsi="Times New Roman"/>
          <w:b/>
          <w:sz w:val="32"/>
        </w:rPr>
      </w:pPr>
      <w:bookmarkStart w:id="0" w:name="Par31"/>
      <w:bookmarkEnd w:id="0"/>
      <w:r>
        <mc:AlternateContent>
          <mc:Choice Requires="wps">
            <w:drawing>
              <wp:anchor behindDoc="1" distT="0" distB="0" distL="0" distR="0" simplePos="0" locked="0" layoutInCell="0" allowOverlap="1" relativeHeight="2">
                <wp:simplePos x="0" y="0"/>
                <wp:positionH relativeFrom="page">
                  <wp:posOffset>0</wp:posOffset>
                </wp:positionH>
                <wp:positionV relativeFrom="page">
                  <wp:align>top</wp:align>
                </wp:positionV>
                <wp:extent cx="1713865" cy="160020"/>
                <wp:effectExtent l="635" t="0" r="0" b="0"/>
                <wp:wrapSquare wrapText="bothSides"/>
                <wp:docPr id="1" name="Фигур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3960" cy="160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0"/>
                              <w:rPr/>
                            </w:pPr>
                            <w:r>
                              <w:rPr/>
                              <w:t>согл-3022056-</w:t>
                            </w:r>
                            <w:r>
                              <w:rPr/>
                              <w:fldChar w:fldCharType="begin"/>
                            </w:r>
                            <w:r>
                              <w:rPr/>
                              <w:instrText xml:space="preserve"> PAGE </w:instrText>
                            </w:r>
                            <w:r>
                              <w:rPr/>
                              <w:fldChar w:fldCharType="separate"/>
                            </w:r>
                            <w:r>
                              <w:rPr/>
                              <w:t>244</w:t>
                            </w:r>
                            <w:r>
                              <w:rPr/>
                              <w:fldChar w:fldCharType="end"/>
                            </w:r>
                            <w:r>
                              <w:rPr/>
                              <w:t xml:space="preserve"> 07.12.2021</w:t>
                            </w:r>
                          </w:p>
                        </w:txbxContent>
                      </wps:txbx>
                      <wps:bodyPr lIns="90000" rIns="90000" tIns="45000" bIns="4500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Фигура1" path="m0,0l-2147483645,0l-2147483645,-2147483646l0,-2147483646xe" stroked="f" o:allowincell="f" style="position:absolute;margin-left:0pt;margin-top:0pt;width:134.9pt;height:12.55pt;mso-wrap-style:square;v-text-anchor:top;mso-position-horizontal-relative:page;mso-position-vertical:top;mso-position-vertic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30"/>
                        <w:rPr/>
                      </w:pPr>
                      <w:r>
                        <w:rPr/>
                        <w:t>согл-3022056-</w:t>
                      </w:r>
                      <w:r>
                        <w:rPr/>
                        <w:fldChar w:fldCharType="begin"/>
                      </w:r>
                      <w:r>
                        <w:rPr/>
                        <w:instrText xml:space="preserve"> PAGE </w:instrText>
                      </w:r>
                      <w:r>
                        <w:rPr/>
                        <w:fldChar w:fldCharType="separate"/>
                      </w:r>
                      <w:r>
                        <w:rPr/>
                        <w:t>244</w:t>
                      </w:r>
                      <w:r>
                        <w:rPr/>
                        <w:fldChar w:fldCharType="end"/>
                      </w:r>
                      <w:r>
                        <w:rPr/>
                        <w:t xml:space="preserve"> 07.12.2021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Times New Roman" w:hAnsi="Times New Roman"/>
          <w:b/>
          <w:sz w:val="32"/>
        </w:rPr>
        <w:t>КЕМЕРОВСКАЯ ОБЛАСТЬ-КУЗБАСС</w:t>
      </w:r>
    </w:p>
    <w:p>
      <w:pPr>
        <w:pStyle w:val="Normal"/>
        <w:widowControl w:val="false"/>
        <w:spacing w:lineRule="auto" w:line="360"/>
        <w:ind w:left="0" w:right="-2" w:hanging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АДМИНИСТРАЦИЯ </w:t>
      </w:r>
    </w:p>
    <w:p>
      <w:pPr>
        <w:pStyle w:val="Normal"/>
        <w:widowControl w:val="false"/>
        <w:spacing w:lineRule="auto" w:line="360"/>
        <w:ind w:left="0" w:right="-2" w:hanging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ПРОКОПЬЕВСКОГО МУНИЦИПАЛЬНОГО ОКРУГА</w:t>
      </w:r>
    </w:p>
    <w:p>
      <w:pPr>
        <w:pStyle w:val="Normal"/>
        <w:widowControl w:val="false"/>
        <w:spacing w:lineRule="auto" w:line="360"/>
        <w:ind w:left="0" w:right="-2" w:hanging="0"/>
        <w:jc w:val="center"/>
        <w:rPr>
          <w:rFonts w:ascii="Times New Roman" w:hAnsi="Times New Roman"/>
          <w:b/>
          <w:sz w:val="40"/>
        </w:rPr>
      </w:pPr>
      <w:r>
        <w:rPr>
          <w:rFonts w:ascii="Times New Roman" w:hAnsi="Times New Roman"/>
          <w:b/>
          <w:sz w:val="40"/>
        </w:rPr>
        <w:t xml:space="preserve">ПОСТАНОВЛЕНИЕ </w:t>
      </w:r>
    </w:p>
    <w:p>
      <w:pPr>
        <w:pStyle w:val="Normal"/>
        <w:widowControl w:val="false"/>
        <w:ind w:left="0" w:right="-2" w:hanging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                           №             - п</w:t>
      </w:r>
    </w:p>
    <w:p>
      <w:pPr>
        <w:pStyle w:val="Normal"/>
        <w:widowControl w:val="false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г. Прокопьевск</w:t>
      </w:r>
    </w:p>
    <w:p>
      <w:pPr>
        <w:pStyle w:val="Normal"/>
        <w:widowControl w:val="false"/>
        <w:ind w:left="0" w:right="-2" w:hanging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spacing w:lineRule="auto" w:line="240" w:before="0" w:after="0"/>
        <w:ind w:left="0" w:right="-2" w:hanging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 утверждении административного </w:t>
      </w:r>
    </w:p>
    <w:p>
      <w:pPr>
        <w:pStyle w:val="Normal"/>
        <w:widowControl w:val="false"/>
        <w:spacing w:lineRule="auto" w:line="240" w:before="0" w:after="0"/>
        <w:ind w:left="0" w:right="-2" w:hanging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регламента предоставления </w:t>
      </w:r>
    </w:p>
    <w:p>
      <w:pPr>
        <w:pStyle w:val="Normal"/>
        <w:widowControl w:val="false"/>
        <w:ind w:left="0" w:right="-2" w:hanging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муниципальной услуги «Направление </w:t>
      </w:r>
    </w:p>
    <w:p>
      <w:pPr>
        <w:pStyle w:val="Normal"/>
        <w:widowControl w:val="false"/>
        <w:ind w:left="0" w:right="-2" w:hanging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уведомления о соответствии </w:t>
      </w:r>
    </w:p>
    <w:p>
      <w:pPr>
        <w:pStyle w:val="Normal"/>
        <w:widowControl w:val="false"/>
        <w:ind w:left="0" w:right="-2" w:hanging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построенных или </w:t>
      </w:r>
    </w:p>
    <w:p>
      <w:pPr>
        <w:pStyle w:val="Normal"/>
        <w:widowControl w:val="false"/>
        <w:ind w:left="0" w:right="-2" w:hanging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реконструированных объектов </w:t>
      </w:r>
    </w:p>
    <w:p>
      <w:pPr>
        <w:pStyle w:val="Normal"/>
        <w:widowControl w:val="false"/>
        <w:ind w:left="0" w:right="-2" w:hanging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индивидуального жилищного </w:t>
      </w:r>
    </w:p>
    <w:p>
      <w:pPr>
        <w:pStyle w:val="Normal"/>
        <w:widowControl w:val="false"/>
        <w:ind w:left="0" w:right="-2" w:hanging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строительства или садового дома </w:t>
      </w:r>
    </w:p>
    <w:p>
      <w:pPr>
        <w:pStyle w:val="Normal"/>
        <w:widowControl w:val="false"/>
        <w:spacing w:before="0" w:after="0"/>
        <w:ind w:left="0" w:right="-2" w:hanging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требованиям законодательства </w:t>
      </w:r>
    </w:p>
    <w:p>
      <w:pPr>
        <w:pStyle w:val="Normal"/>
        <w:widowControl w:val="false"/>
        <w:spacing w:before="0" w:after="0"/>
        <w:ind w:left="0" w:right="-2" w:hanging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Российской Федерации о </w:t>
      </w:r>
    </w:p>
    <w:p>
      <w:pPr>
        <w:pStyle w:val="Normal"/>
        <w:widowControl w:val="false"/>
        <w:spacing w:before="0" w:after="0"/>
        <w:ind w:left="0" w:right="-2" w:hanging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градостроительной деятельности»</w:t>
      </w:r>
    </w:p>
    <w:p>
      <w:pPr>
        <w:pStyle w:val="Normal"/>
        <w:widowControl w:val="false"/>
        <w:ind w:left="0" w:right="-2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ind w:left="0" w:right="-2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частями 16 - 23 статьи 55 Градостроительного кодекса Российской Федерации, Федеральным законом от 27.07.2010 № 210-ФЗ «Об организации предоставления государственных и муниципальных услуг», </w:t>
      </w:r>
      <w:r>
        <w:rPr>
          <w:rFonts w:ascii="Times New Roman" w:hAnsi="Times New Roman"/>
          <w:color w:val="000000"/>
          <w:sz w:val="28"/>
        </w:rPr>
        <w:t>постановлением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>
        <w:rPr>
          <w:rFonts w:ascii="Times New Roman" w:hAnsi="Times New Roman"/>
          <w:sz w:val="28"/>
        </w:rPr>
        <w:t xml:space="preserve"> руководствуясь Уставом муниципального образования Прокопьевский муниципальный округ Кемеровской области - Кузбасса,</w:t>
      </w:r>
    </w:p>
    <w:p>
      <w:pPr>
        <w:pStyle w:val="Normal"/>
        <w:widowControl w:val="false"/>
        <w:spacing w:lineRule="auto" w:line="240" w:before="0" w:after="0"/>
        <w:ind w:left="0" w:right="-2" w:firstLine="709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администрация Прокопьевского муниципального округа  ПОСТАНОВЛЯЕТ:</w:t>
      </w:r>
    </w:p>
    <w:p>
      <w:pPr>
        <w:pStyle w:val="Normal"/>
        <w:widowControl w:val="false"/>
        <w:spacing w:lineRule="auto" w:line="240" w:before="0" w:after="0"/>
        <w:rPr>
          <w:sz w:val="28"/>
        </w:rPr>
      </w:pPr>
      <w:r>
        <w:rPr>
          <w:sz w:val="28"/>
        </w:rPr>
      </w:r>
    </w:p>
    <w:p>
      <w:pPr>
        <w:pStyle w:val="Normal"/>
        <w:widowControl w:val="false"/>
        <w:tabs>
          <w:tab w:val="clear" w:pos="708"/>
          <w:tab w:val="left" w:pos="676" w:leader="none"/>
        </w:tabs>
        <w:spacing w:lineRule="auto" w:line="240" w:before="0" w:after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ab/>
        <w:t xml:space="preserve">1. Утвердить административный </w:t>
      </w:r>
      <w:hyperlink r:id="rId2">
        <w:r>
          <w:rPr>
            <w:rStyle w:val="ListLabel1"/>
            <w:rFonts w:ascii="Times New Roman" w:hAnsi="Times New Roman"/>
            <w:color w:val="000000"/>
            <w:sz w:val="28"/>
          </w:rPr>
          <w:t>регламент</w:t>
        </w:r>
      </w:hyperlink>
      <w:r>
        <w:rPr>
          <w:rFonts w:ascii="Times New Roman" w:hAnsi="Times New Roman"/>
          <w:color w:val="000000"/>
          <w:sz w:val="28"/>
        </w:rPr>
        <w:t xml:space="preserve"> предоставления муниципальной услуги «</w:t>
      </w:r>
      <w:r>
        <w:rPr>
          <w:rFonts w:ascii="Times New Roman" w:hAnsi="Times New Roman"/>
          <w:sz w:val="28"/>
        </w:rPr>
        <w:t xml:space="preserve"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</w:t>
      </w:r>
    </w:p>
    <w:p>
      <w:pPr>
        <w:pStyle w:val="Normal"/>
        <w:widowControl w:val="false"/>
        <w:spacing w:before="0" w:after="0"/>
        <w:ind w:left="0" w:right="-2" w:hanging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Российской Федерации о градостроительной деятельности</w:t>
      </w:r>
      <w:r>
        <w:rPr>
          <w:rFonts w:ascii="Times New Roman" w:hAnsi="Times New Roman"/>
          <w:color w:val="000000"/>
          <w:sz w:val="28"/>
        </w:rPr>
        <w:t>», согласно приложению к настоящему постановлению.</w:t>
      </w:r>
    </w:p>
    <w:p>
      <w:pPr>
        <w:pStyle w:val="Normal"/>
        <w:widowControl w:val="false"/>
        <w:spacing w:lineRule="auto" w:line="240" w:before="0" w:after="0"/>
        <w:ind w:left="0" w:right="-2" w:firstLine="709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2. Признать утратившим силу </w:t>
      </w:r>
      <w:r>
        <w:rPr>
          <w:rFonts w:ascii="Times New Roman" w:hAnsi="Times New Roman"/>
          <w:color w:val="000000"/>
          <w:sz w:val="28"/>
        </w:rPr>
        <w:t>п</w:t>
      </w:r>
      <w:r>
        <w:rPr>
          <w:rFonts w:ascii="Times New Roman" w:hAnsi="Times New Roman"/>
          <w:color w:val="000000"/>
          <w:sz w:val="28"/>
        </w:rPr>
        <w:t>остановление администрации Прокопьевского муниципального округа от</w:t>
      </w:r>
      <w:r>
        <w:rPr>
          <w:rFonts w:ascii="Times New Roman" w:hAnsi="Times New Roman"/>
          <w:sz w:val="28"/>
        </w:rPr>
        <w:t xml:space="preserve"> 2</w:t>
      </w:r>
      <w:r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>.0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>.202</w:t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№ </w:t>
      </w:r>
      <w:r>
        <w:rPr>
          <w:rFonts w:ascii="Times New Roman" w:hAnsi="Times New Roman"/>
          <w:sz w:val="28"/>
        </w:rPr>
        <w:t>92</w:t>
      </w:r>
      <w:r>
        <w:rPr>
          <w:rFonts w:ascii="Times New Roman" w:hAnsi="Times New Roman"/>
          <w:sz w:val="28"/>
        </w:rPr>
        <w:t>-п</w:t>
      </w:r>
      <w:r>
        <w:rPr>
          <w:rFonts w:ascii="Times New Roman" w:hAnsi="Times New Roman"/>
          <w:color w:val="000000"/>
          <w:sz w:val="28"/>
        </w:rPr>
        <w:t xml:space="preserve"> «Об утверждении административного регламента предоставления муниципальной услуги «</w:t>
      </w:r>
      <w:r>
        <w:rPr>
          <w:rFonts w:ascii="Times New Roman" w:hAnsi="Times New Roman"/>
          <w:sz w:val="28"/>
        </w:rPr>
        <w:t>Направление уведомления о соответствии построенных или реконструированных объект</w:t>
      </w:r>
      <w:r>
        <w:rPr>
          <w:rFonts w:ascii="Times New Roman" w:hAnsi="Times New Roman"/>
          <w:sz w:val="28"/>
        </w:rPr>
        <w:t>ов</w:t>
      </w:r>
      <w:r>
        <w:rPr>
          <w:rFonts w:ascii="Times New Roman" w:hAnsi="Times New Roman"/>
          <w:sz w:val="28"/>
        </w:rPr>
        <w:t xml:space="preserve">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>
        <w:rPr>
          <w:rFonts w:ascii="Times New Roman" w:hAnsi="Times New Roman"/>
          <w:color w:val="000000"/>
          <w:sz w:val="28"/>
        </w:rPr>
        <w:t>».</w:t>
      </w:r>
    </w:p>
    <w:p>
      <w:pPr>
        <w:pStyle w:val="Normal"/>
        <w:keepNext w:val="true"/>
        <w:widowControl w:val="false"/>
        <w:tabs>
          <w:tab w:val="clear" w:pos="708"/>
          <w:tab w:val="left" w:pos="676" w:leader="none"/>
        </w:tabs>
        <w:spacing w:lineRule="auto" w:line="240" w:before="0" w:after="160"/>
        <w:ind w:left="709" w:right="0" w:hanging="0"/>
        <w:contextualSpacing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3. Настоящее постановление опубликовать в газете «Сельская новь».</w:t>
      </w:r>
    </w:p>
    <w:p>
      <w:pPr>
        <w:pStyle w:val="Normal"/>
        <w:keepNext w:val="true"/>
        <w:widowControl w:val="false"/>
        <w:tabs>
          <w:tab w:val="clear" w:pos="708"/>
          <w:tab w:val="left" w:pos="676" w:leader="none"/>
        </w:tabs>
        <w:spacing w:lineRule="auto" w:line="240" w:before="0" w:after="160"/>
        <w:ind w:left="0" w:right="0" w:firstLine="709"/>
        <w:contextualSpacing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4. Настоящее постановление вступает в силу после официального опубликования. </w:t>
      </w:r>
    </w:p>
    <w:p>
      <w:pPr>
        <w:pStyle w:val="Normal"/>
        <w:keepNext w:val="true"/>
        <w:widowControl/>
        <w:tabs>
          <w:tab w:val="clear" w:pos="708"/>
          <w:tab w:val="left" w:pos="676" w:leader="none"/>
        </w:tabs>
        <w:spacing w:lineRule="auto" w:line="240" w:before="0" w:after="160"/>
        <w:ind w:left="0" w:right="0" w:firstLine="709"/>
        <w:contextualSpacing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5. Контроль за исполнением настоящего постановления возложить на заместителя главы округа по ЖКХ, дорожному хозяйству, транспорту и связи Пушкареву О.В.</w:t>
      </w:r>
    </w:p>
    <w:p>
      <w:pPr>
        <w:pStyle w:val="Normal"/>
        <w:widowControl w:val="false"/>
        <w:spacing w:lineRule="auto" w:line="240" w:before="0" w:after="0"/>
        <w:ind w:left="0" w:right="-2" w:firstLine="709"/>
        <w:jc w:val="both"/>
        <w:rPr>
          <w:sz w:val="28"/>
        </w:rPr>
      </w:pPr>
      <w:r>
        <w:rPr>
          <w:sz w:val="28"/>
        </w:rPr>
      </w:r>
    </w:p>
    <w:p>
      <w:pPr>
        <w:pStyle w:val="Normal"/>
        <w:widowControl w:val="false"/>
        <w:spacing w:lineRule="auto" w:line="240" w:before="0" w:after="0"/>
        <w:ind w:left="0" w:right="-2" w:firstLine="709"/>
        <w:jc w:val="both"/>
        <w:rPr>
          <w:sz w:val="28"/>
        </w:rPr>
      </w:pPr>
      <w:r>
        <w:rPr>
          <w:sz w:val="28"/>
        </w:rPr>
      </w:r>
    </w:p>
    <w:p>
      <w:pPr>
        <w:pStyle w:val="Normal"/>
        <w:widowControl w:val="false"/>
        <w:spacing w:lineRule="auto" w:line="240" w:before="0" w:after="0"/>
        <w:ind w:left="0" w:right="-2" w:hanging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И.о. г</w:t>
      </w:r>
      <w:r>
        <w:rPr>
          <w:rFonts w:ascii="Times New Roman" w:hAnsi="Times New Roman"/>
          <w:color w:val="000000"/>
          <w:sz w:val="28"/>
        </w:rPr>
        <w:t>лав</w:t>
      </w:r>
      <w:r>
        <w:rPr>
          <w:rFonts w:ascii="Times New Roman" w:hAnsi="Times New Roman"/>
          <w:color w:val="000000"/>
          <w:sz w:val="28"/>
        </w:rPr>
        <w:t>ы</w:t>
      </w:r>
      <w:r>
        <w:rPr>
          <w:rFonts w:ascii="Times New Roman" w:hAnsi="Times New Roman"/>
          <w:color w:val="000000"/>
          <w:sz w:val="28"/>
        </w:rPr>
        <w:t xml:space="preserve"> Прокопьевского</w:t>
      </w:r>
    </w:p>
    <w:p>
      <w:pPr>
        <w:pStyle w:val="Normal"/>
        <w:widowControl w:val="false"/>
        <w:spacing w:lineRule="auto" w:line="240" w:before="0" w:after="0"/>
        <w:ind w:left="0" w:right="-2" w:hanging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муниципального округа</w:t>
        <w:tab/>
        <w:t xml:space="preserve">                                                           Н.</w:t>
      </w:r>
      <w:r>
        <w:rPr>
          <w:rFonts w:ascii="Times New Roman" w:hAnsi="Times New Roman"/>
          <w:color w:val="000000"/>
          <w:sz w:val="28"/>
        </w:rPr>
        <w:t>Б. Матвеева</w:t>
      </w:r>
    </w:p>
    <w:p>
      <w:pPr>
        <w:pStyle w:val="Normal"/>
        <w:widowControl w:val="false"/>
        <w:ind w:left="0" w:right="0"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br w:type="page"/>
      </w:r>
    </w:p>
    <w:p>
      <w:pPr>
        <w:pStyle w:val="Normal"/>
        <w:widowControl w:val="false"/>
        <w:spacing w:before="0" w:after="0"/>
        <w:ind w:left="0" w:right="0"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</w:t>
      </w:r>
    </w:p>
    <w:p>
      <w:pPr>
        <w:pStyle w:val="Normal"/>
        <w:widowControl w:val="false"/>
        <w:ind w:left="0" w:right="0"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постановлению администрации</w:t>
      </w:r>
    </w:p>
    <w:p>
      <w:pPr>
        <w:pStyle w:val="Normal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</w:t>
      </w:r>
      <w:r>
        <w:rPr>
          <w:rFonts w:ascii="Times New Roman" w:hAnsi="Times New Roman"/>
          <w:sz w:val="28"/>
        </w:rPr>
        <w:t>Прокопьевского муниципального округа</w:t>
      </w:r>
    </w:p>
    <w:p>
      <w:pPr>
        <w:pStyle w:val="Normal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     </w:t>
      </w:r>
      <w:r>
        <w:rPr>
          <w:rFonts w:ascii="Times New Roman" w:hAnsi="Times New Roman"/>
          <w:sz w:val="28"/>
        </w:rPr>
        <w:t xml:space="preserve">от                     №   </w:t>
      </w:r>
    </w:p>
    <w:p>
      <w:pPr>
        <w:pStyle w:val="ConsPlusTitle1"/>
        <w:widowControl w:val="false"/>
        <w:ind w:left="0" w:right="0" w:firstLine="709"/>
        <w:jc w:val="center"/>
        <w:rPr>
          <w:rFonts w:ascii="Times New Roman" w:hAnsi="Times New Roman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</w:r>
    </w:p>
    <w:p>
      <w:pPr>
        <w:pStyle w:val="ConsPlusTitle1"/>
        <w:widowControl w:val="false"/>
        <w:ind w:left="0" w:right="0" w:firstLine="709"/>
        <w:jc w:val="center"/>
        <w:rPr>
          <w:rFonts w:ascii="Times New Roman" w:hAnsi="Times New Roman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</w:r>
    </w:p>
    <w:p>
      <w:pPr>
        <w:pStyle w:val="ConsPlusTitle1"/>
        <w:widowControl w:val="false"/>
        <w:ind w:left="0" w:right="0" w:firstLine="709"/>
        <w:jc w:val="center"/>
        <w:rPr>
          <w:rFonts w:ascii="Times New Roman" w:hAnsi="Times New Roman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</w:r>
    </w:p>
    <w:p>
      <w:pPr>
        <w:pStyle w:val="ConsPlusTitle1"/>
        <w:widowControl w:val="false"/>
        <w:ind w:left="0" w:right="0" w:firstLine="709"/>
        <w:jc w:val="center"/>
        <w:rPr>
          <w:rFonts w:ascii="Times New Roman" w:hAnsi="Times New Roman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</w:r>
    </w:p>
    <w:p>
      <w:pPr>
        <w:pStyle w:val="ConsPlusTitle1"/>
        <w:widowControl w:val="false"/>
        <w:ind w:left="0" w:right="0" w:firstLine="709"/>
        <w:jc w:val="center"/>
        <w:rPr>
          <w:rFonts w:ascii="Times New Roman" w:hAnsi="Times New Roman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</w:r>
    </w:p>
    <w:p>
      <w:pPr>
        <w:pStyle w:val="ConsPlusTitle1"/>
        <w:widowControl w:val="false"/>
        <w:ind w:left="0" w:right="0" w:firstLine="709"/>
        <w:jc w:val="center"/>
        <w:rPr>
          <w:rFonts w:ascii="Times New Roman" w:hAnsi="Times New Roman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</w:r>
    </w:p>
    <w:p>
      <w:pPr>
        <w:pStyle w:val="ConsPlusTitle1"/>
        <w:widowControl w:val="false"/>
        <w:ind w:left="0" w:right="0" w:firstLine="709"/>
        <w:jc w:val="center"/>
        <w:rPr>
          <w:rFonts w:ascii="Times New Roman" w:hAnsi="Times New Roman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</w:r>
    </w:p>
    <w:p>
      <w:pPr>
        <w:pStyle w:val="ConsPlusTitle1"/>
        <w:widowControl w:val="false"/>
        <w:ind w:left="0" w:right="0" w:firstLine="709"/>
        <w:jc w:val="center"/>
        <w:rPr>
          <w:rFonts w:ascii="Times New Roman" w:hAnsi="Times New Roman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</w:r>
    </w:p>
    <w:p>
      <w:pPr>
        <w:pStyle w:val="ConsPlusTitle1"/>
        <w:widowControl w:val="false"/>
        <w:ind w:left="0" w:right="0" w:firstLine="709"/>
        <w:jc w:val="center"/>
        <w:rPr>
          <w:rFonts w:ascii="Times New Roman" w:hAnsi="Times New Roman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</w:r>
    </w:p>
    <w:p>
      <w:pPr>
        <w:pStyle w:val="ConsPlusTitle1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ConsPlusTitle1"/>
        <w:widowControl w:val="false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АДМИНИСТРАТИВНЫЙ РЕГЛАМЕНТ</w:t>
      </w:r>
    </w:p>
    <w:p>
      <w:pPr>
        <w:pStyle w:val="ConsPlusTitle1"/>
        <w:widowControl w:val="false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предоставления муниципальной услуги </w:t>
      </w:r>
    </w:p>
    <w:p>
      <w:pPr>
        <w:pStyle w:val="Normal"/>
        <w:widowControl w:val="false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</w:t>
      </w:r>
    </w:p>
    <w:p>
      <w:pPr>
        <w:pStyle w:val="Normal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Прокопьевский муниципальный округ, 2026</w:t>
      </w:r>
    </w:p>
    <w:p>
      <w:pPr>
        <w:pStyle w:val="110"/>
        <w:keepNext w:val="true"/>
        <w:keepLines/>
        <w:widowControl w:val="false"/>
        <w:spacing w:lineRule="exact" w:line="638" w:before="0" w:after="0"/>
        <w:ind w:left="0" w:right="0" w:firstLine="709"/>
        <w:jc w:val="center"/>
        <w:rPr>
          <w:sz w:val="28"/>
        </w:rPr>
      </w:pPr>
      <w:bookmarkStart w:id="1" w:name="bookmark31"/>
      <w:bookmarkEnd w:id="1"/>
      <w:r>
        <w:rPr>
          <w:sz w:val="28"/>
        </w:rPr>
        <w:t>1. Общие положения</w:t>
      </w:r>
    </w:p>
    <w:p>
      <w:pPr>
        <w:pStyle w:val="110"/>
        <w:keepNext w:val="true"/>
        <w:keepLines/>
        <w:widowControl w:val="false"/>
        <w:spacing w:lineRule="exact" w:line="638" w:before="0" w:after="0"/>
        <w:ind w:left="0" w:right="0" w:firstLine="709"/>
        <w:jc w:val="both"/>
        <w:rPr>
          <w:b w:val="false"/>
          <w:sz w:val="28"/>
        </w:rPr>
      </w:pPr>
      <w:r>
        <w:rPr>
          <w:b w:val="false"/>
          <w:sz w:val="28"/>
        </w:rPr>
        <w:t>1. Предмет регулирования административного регламента.</w:t>
      </w:r>
    </w:p>
    <w:p>
      <w:pPr>
        <w:pStyle w:val="44"/>
        <w:widowControl w:val="false"/>
        <w:spacing w:lineRule="exact" w:line="322" w:before="0" w:after="0"/>
        <w:ind w:left="20" w:right="0" w:firstLine="720"/>
        <w:rPr>
          <w:sz w:val="28"/>
        </w:rPr>
      </w:pPr>
      <w:r>
        <w:rPr>
          <w:sz w:val="28"/>
        </w:rPr>
        <w:t>1.1. Настоящий административный регламент предоставления муниципальной услуги (далее - административный регламент) устанавливает стандарт и порядок предоставления муниципальной услуги по направлению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деятельности, либо несоответствии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деятельности.</w:t>
      </w:r>
    </w:p>
    <w:p>
      <w:pPr>
        <w:pStyle w:val="110"/>
        <w:keepNext w:val="true"/>
        <w:keepLines/>
        <w:widowControl w:val="false"/>
        <w:spacing w:lineRule="exact" w:line="260" w:before="0" w:after="0"/>
        <w:ind w:left="0" w:right="0" w:firstLine="709"/>
        <w:jc w:val="left"/>
        <w:rPr>
          <w:sz w:val="28"/>
        </w:rPr>
      </w:pPr>
      <w:bookmarkStart w:id="2" w:name="bookmark32"/>
      <w:bookmarkEnd w:id="2"/>
      <w:r>
        <w:rPr>
          <w:b w:val="false"/>
          <w:sz w:val="28"/>
        </w:rPr>
        <w:t>1.2. Круг заявителей.</w:t>
      </w:r>
    </w:p>
    <w:p>
      <w:pPr>
        <w:pStyle w:val="44"/>
        <w:widowControl w:val="false"/>
        <w:spacing w:lineRule="exact" w:line="322" w:before="0" w:after="0"/>
        <w:ind w:left="40" w:right="20" w:firstLine="669"/>
        <w:rPr>
          <w:sz w:val="28"/>
        </w:rPr>
      </w:pPr>
      <w:r>
        <w:rPr>
          <w:sz w:val="28"/>
        </w:rPr>
        <w:t>Заявителями на получение мун</w:t>
      </w:r>
      <w:r>
        <w:rPr>
          <w:sz w:val="28"/>
          <w:u w:val="none"/>
        </w:rPr>
        <w:t>иц</w:t>
      </w:r>
      <w:r>
        <w:rPr>
          <w:sz w:val="28"/>
        </w:rPr>
        <w:t>ипальной услуги являются застройщики (далее - Заявитель).</w:t>
      </w:r>
    </w:p>
    <w:p>
      <w:pPr>
        <w:pStyle w:val="44"/>
        <w:widowControl w:val="false"/>
        <w:spacing w:lineRule="exact" w:line="322" w:before="0" w:after="0"/>
        <w:ind w:left="40" w:right="20" w:firstLine="669"/>
        <w:rPr>
          <w:sz w:val="28"/>
        </w:rPr>
      </w:pPr>
      <w:r>
        <w:rPr>
          <w:sz w:val="28"/>
        </w:rPr>
        <w:t>Интересы Заявителей могут представлять лица, обладающие соответствующими полномочиями (далее – представитель заявителя).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1.3. Требование предоставления заявителю муниципальной услуги в соответствии с категориями (признаками) заявителей.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 xml:space="preserve">Услуга предоставляется </w:t>
      </w:r>
      <w:r>
        <w:rPr>
          <w:spacing w:val="0"/>
          <w:sz w:val="28"/>
        </w:rPr>
        <w:t>З</w:t>
      </w:r>
      <w:r>
        <w:rPr>
          <w:spacing w:val="0"/>
          <w:sz w:val="28"/>
        </w:rPr>
        <w:t>аявителю в соответствии с категориями (признаками) заявителей.</w:t>
      </w:r>
    </w:p>
    <w:p>
      <w:pPr>
        <w:pStyle w:val="44"/>
        <w:widowControl w:val="false"/>
        <w:spacing w:lineRule="exact" w:line="322" w:before="0" w:after="0"/>
        <w:ind w:left="709" w:right="0" w:hanging="0"/>
        <w:rPr>
          <w:sz w:val="28"/>
        </w:rPr>
      </w:pPr>
      <w:r>
        <w:rPr>
          <w:sz w:val="28"/>
        </w:rPr>
      </w:r>
    </w:p>
    <w:p>
      <w:pPr>
        <w:pStyle w:val="110"/>
        <w:keepNext w:val="true"/>
        <w:keepLines/>
        <w:widowControl w:val="false"/>
        <w:spacing w:lineRule="exact" w:line="260" w:before="0" w:after="0"/>
        <w:ind w:left="0" w:right="0" w:hanging="0"/>
        <w:jc w:val="center"/>
        <w:rPr>
          <w:sz w:val="28"/>
        </w:rPr>
      </w:pPr>
      <w:r>
        <w:rPr>
          <w:sz w:val="28"/>
        </w:rPr>
        <w:t>2. Стандарт предоставления муниципальной услуги</w:t>
      </w:r>
    </w:p>
    <w:p>
      <w:pPr>
        <w:pStyle w:val="110"/>
        <w:keepNext w:val="true"/>
        <w:keepLines/>
        <w:widowControl w:val="false"/>
        <w:spacing w:lineRule="exact" w:line="260" w:before="0" w:after="0"/>
        <w:ind w:left="0" w:right="220" w:hanging="0"/>
        <w:jc w:val="center"/>
        <w:rPr>
          <w:sz w:val="28"/>
        </w:rPr>
      </w:pPr>
      <w:r>
        <w:rPr>
          <w:sz w:val="28"/>
        </w:rPr>
        <w:t xml:space="preserve"> </w:t>
      </w:r>
    </w:p>
    <w:p>
      <w:pPr>
        <w:pStyle w:val="110"/>
        <w:keepNext w:val="true"/>
        <w:keepLines/>
        <w:widowControl w:val="false"/>
        <w:spacing w:lineRule="auto" w:line="240" w:before="0" w:after="0"/>
        <w:ind w:left="0" w:right="0" w:firstLine="709"/>
        <w:jc w:val="both"/>
        <w:rPr>
          <w:b w:val="false"/>
          <w:sz w:val="28"/>
        </w:rPr>
      </w:pPr>
      <w:r>
        <w:rPr>
          <w:b w:val="false"/>
          <w:sz w:val="28"/>
        </w:rPr>
        <w:t>2.1. Наименование муниципальной услуги: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(далее - муниципальная услуга).</w:t>
      </w:r>
    </w:p>
    <w:p>
      <w:pPr>
        <w:pStyle w:val="92"/>
        <w:widowControl w:val="false"/>
        <w:spacing w:lineRule="auto" w:line="240" w:before="0" w:after="0"/>
        <w:ind w:left="0" w:right="0" w:firstLine="709"/>
        <w:jc w:val="both"/>
        <w:rPr>
          <w:b w:val="false"/>
          <w:sz w:val="28"/>
        </w:rPr>
      </w:pPr>
      <w:r>
        <w:rPr>
          <w:b w:val="false"/>
          <w:sz w:val="28"/>
        </w:rPr>
        <w:t>2.2. Наименование органа, предоставляющего муниципальную услугу: администрация Прокопьевского муниципального округа в лице отдела архитектуры и строительства (далее – Уполномоченный орган).</w:t>
      </w:r>
    </w:p>
    <w:p>
      <w:pPr>
        <w:pStyle w:val="110"/>
        <w:keepNext w:val="true"/>
        <w:keepLines/>
        <w:widowControl w:val="false"/>
        <w:spacing w:lineRule="auto" w:line="240" w:before="0" w:after="0"/>
        <w:ind w:left="0" w:right="20" w:firstLine="709"/>
        <w:jc w:val="both"/>
        <w:rPr>
          <w:b w:val="false"/>
          <w:sz w:val="28"/>
        </w:rPr>
      </w:pPr>
      <w:r>
        <w:rPr>
          <w:b w:val="false"/>
          <w:sz w:val="28"/>
        </w:rPr>
        <w:t>2.3. Результат предоставления муниципальной услуги.</w:t>
      </w:r>
    </w:p>
    <w:p>
      <w:pPr>
        <w:pStyle w:val="110"/>
        <w:keepNext w:val="true"/>
        <w:keepLines/>
        <w:widowControl w:val="false"/>
        <w:spacing w:lineRule="auto" w:line="240" w:before="0" w:after="0"/>
        <w:ind w:left="0" w:right="20" w:firstLine="709"/>
        <w:jc w:val="both"/>
        <w:rPr>
          <w:b w:val="false"/>
          <w:sz w:val="28"/>
        </w:rPr>
      </w:pPr>
      <w:r>
        <w:rPr>
          <w:b w:val="false"/>
          <w:sz w:val="28"/>
        </w:rPr>
        <w:t>2.3.1. При обращении Заявителя за уведомлением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результатами предоставления муниципальной услуги являются:</w:t>
      </w:r>
    </w:p>
    <w:p>
      <w:pPr>
        <w:pStyle w:val="44"/>
        <w:widowControl w:val="false"/>
        <w:spacing w:lineRule="exact" w:line="322" w:before="0" w:after="0"/>
        <w:ind w:left="0" w:right="20" w:firstLine="709"/>
        <w:rPr>
          <w:sz w:val="28"/>
        </w:rPr>
      </w:pPr>
      <w:r>
        <w:rPr>
          <w:sz w:val="28"/>
        </w:rPr>
        <w:t xml:space="preserve">а) 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</w:t>
      </w:r>
      <w:r>
        <w:rPr>
          <w:sz w:val="28"/>
        </w:rPr>
        <w:t>(далее - уведомление о соответствии требованиям)</w:t>
      </w:r>
      <w:r>
        <w:rPr>
          <w:sz w:val="28"/>
        </w:rPr>
        <w:t>;</w:t>
      </w:r>
    </w:p>
    <w:p>
      <w:pPr>
        <w:pStyle w:val="44"/>
        <w:bidi w:val="0"/>
        <w:spacing w:lineRule="exact" w:line="322" w:before="0" w:after="0"/>
        <w:ind w:left="0" w:right="20" w:firstLine="709"/>
        <w:rPr>
          <w:sz w:val="28"/>
        </w:rPr>
      </w:pPr>
      <w:r>
        <w:rPr>
          <w:b w:val="false"/>
          <w:sz w:val="28"/>
        </w:rPr>
        <w:t xml:space="preserve">б) уведомление о несоответствии построенных или реконструированных объекта индивидуального жилищного строительства </w:t>
      </w:r>
      <w:r>
        <w:rPr>
          <w:spacing w:val="0"/>
          <w:sz w:val="28"/>
        </w:rPr>
        <w:t>или садового дома требованиям законодательства о градостроительной деятельности (далее - уведомление о несоответствии требованиям).</w:t>
      </w:r>
    </w:p>
    <w:p>
      <w:pPr>
        <w:pStyle w:val="44"/>
        <w:bidi w:val="0"/>
        <w:spacing w:lineRule="exact" w:line="322" w:before="0" w:after="0"/>
        <w:ind w:left="0" w:right="20" w:firstLine="709"/>
        <w:rPr>
          <w:spacing w:val="0"/>
          <w:sz w:val="28"/>
        </w:rPr>
      </w:pPr>
      <w:r>
        <w:rPr>
          <w:spacing w:val="0"/>
          <w:sz w:val="28"/>
        </w:rPr>
        <w:t>2.3.2. При обращении заявителя за исправлением опечаток и (или) ошибок, допущенных в документах, выданных в результате предоставления муниципальной услуги результатами предоставления муниципальной услуги являются:</w:t>
      </w:r>
    </w:p>
    <w:p>
      <w:pPr>
        <w:pStyle w:val="44"/>
        <w:bidi w:val="0"/>
        <w:spacing w:lineRule="exact" w:line="322" w:before="0" w:after="0"/>
        <w:ind w:left="0" w:right="20" w:firstLine="709"/>
        <w:rPr>
          <w:spacing w:val="0"/>
          <w:sz w:val="28"/>
        </w:rPr>
      </w:pPr>
      <w:r>
        <w:rPr>
          <w:spacing w:val="0"/>
          <w:sz w:val="28"/>
        </w:rPr>
        <w:t xml:space="preserve">1) 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с внесенными исправлениями, взамен ранее выданного, либо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с внесенными исправлениями, взамен ранее выданного </w:t>
      </w:r>
      <w:r>
        <w:rPr>
          <w:spacing w:val="0"/>
          <w:sz w:val="28"/>
        </w:rPr>
        <w:t>(далее -  уведомление о соответствии требованиям с внесенными исправлениями, взамен ранее выданного, либо уведомление о несоответствии требованиям с внесенными исправлениями, взамен ранее выданного</w:t>
      </w:r>
      <w:r>
        <w:rPr>
          <w:spacing w:val="0"/>
          <w:sz w:val="28"/>
        </w:rPr>
        <w:t>)</w:t>
      </w:r>
      <w:r>
        <w:rPr>
          <w:spacing w:val="0"/>
          <w:sz w:val="28"/>
        </w:rPr>
        <w:t>;</w:t>
      </w:r>
    </w:p>
    <w:p>
      <w:pPr>
        <w:pStyle w:val="44"/>
        <w:bidi w:val="0"/>
        <w:spacing w:lineRule="exact" w:line="322" w:before="0" w:after="0"/>
        <w:ind w:left="0" w:right="20" w:firstLine="709"/>
        <w:rPr>
          <w:sz w:val="28"/>
        </w:rPr>
      </w:pPr>
      <w:r>
        <w:rPr>
          <w:spacing w:val="0"/>
          <w:sz w:val="28"/>
        </w:rPr>
        <w:t xml:space="preserve">2) решение об отказе о внесении исправлений в 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деятельности, либо </w:t>
      </w:r>
      <w:r>
        <w:rPr>
          <w:spacing w:val="0"/>
          <w:sz w:val="28"/>
        </w:rPr>
        <w:t xml:space="preserve">решение об отказе о внесении исправлений </w:t>
      </w:r>
      <w:r>
        <w:rPr>
          <w:spacing w:val="0"/>
          <w:sz w:val="28"/>
        </w:rPr>
        <w:t xml:space="preserve">в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</w:t>
      </w:r>
      <w:r>
        <w:rPr>
          <w:spacing w:val="0"/>
          <w:sz w:val="28"/>
        </w:rPr>
        <w:t xml:space="preserve">(далее - решение об отказе о внесении исправлений в уведомление о соответствии требованиям, </w:t>
      </w:r>
      <w:r>
        <w:rPr>
          <w:spacing w:val="0"/>
          <w:sz w:val="28"/>
        </w:rPr>
        <w:t xml:space="preserve">либо </w:t>
      </w:r>
      <w:r>
        <w:rPr>
          <w:spacing w:val="0"/>
          <w:sz w:val="28"/>
        </w:rPr>
        <w:t>решение об отказе о внесении исправлений в уведомление о несоответствии требованиям</w:t>
      </w:r>
      <w:r>
        <w:rPr>
          <w:spacing w:val="0"/>
          <w:sz w:val="28"/>
        </w:rPr>
        <w:t>)</w:t>
      </w:r>
      <w:r>
        <w:rPr>
          <w:spacing w:val="0"/>
          <w:sz w:val="28"/>
        </w:rPr>
        <w:t>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 xml:space="preserve">2.3.3. При обращении заявителя за выдачей дубликата документа, являющегося результатом предоставления муниципальной услуги, </w:t>
      </w:r>
      <w:r>
        <w:rPr>
          <w:spacing w:val="0"/>
          <w:sz w:val="28"/>
        </w:rPr>
        <w:t>результатом</w:t>
      </w:r>
      <w:r>
        <w:rPr>
          <w:spacing w:val="0"/>
          <w:sz w:val="28"/>
        </w:rPr>
        <w:t xml:space="preserve"> являются: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 xml:space="preserve">1) дубликат 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деятельности, либо </w:t>
      </w:r>
      <w:r>
        <w:rPr>
          <w:spacing w:val="0"/>
          <w:sz w:val="28"/>
        </w:rPr>
        <w:t xml:space="preserve">дубликат </w:t>
      </w:r>
      <w:r>
        <w:rPr>
          <w:spacing w:val="0"/>
          <w:sz w:val="28"/>
        </w:rPr>
        <w:t>уведомлени</w:t>
      </w:r>
      <w:r>
        <w:rPr>
          <w:spacing w:val="0"/>
          <w:sz w:val="28"/>
        </w:rPr>
        <w:t>я</w:t>
      </w:r>
      <w:r>
        <w:rPr>
          <w:spacing w:val="0"/>
          <w:sz w:val="28"/>
        </w:rPr>
        <w:t xml:space="preserve">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</w:t>
      </w:r>
      <w:r>
        <w:rPr>
          <w:spacing w:val="0"/>
          <w:sz w:val="28"/>
        </w:rPr>
        <w:t xml:space="preserve">(далее - дубликат  уведомления о соответствии требованиям, либо </w:t>
      </w:r>
      <w:r>
        <w:rPr>
          <w:spacing w:val="0"/>
          <w:sz w:val="28"/>
        </w:rPr>
        <w:t xml:space="preserve">дубликат </w:t>
      </w:r>
      <w:r>
        <w:rPr>
          <w:spacing w:val="0"/>
          <w:sz w:val="28"/>
        </w:rPr>
        <w:t xml:space="preserve">уведомления о несоответствии </w:t>
      </w:r>
      <w:r>
        <w:rPr>
          <w:spacing w:val="0"/>
          <w:sz w:val="28"/>
        </w:rPr>
        <w:t>требованиям)</w:t>
      </w:r>
      <w:r>
        <w:rPr>
          <w:spacing w:val="0"/>
          <w:sz w:val="28"/>
        </w:rPr>
        <w:t>;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 xml:space="preserve">2) решение об отказе в выдаче дубликата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деятельности, либо решение об отказе в выдаче дубликата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</w:t>
      </w:r>
      <w:r>
        <w:rPr>
          <w:spacing w:val="0"/>
          <w:sz w:val="28"/>
        </w:rPr>
        <w:t>(далее - решение об отказе в выдаче дубликата уведомления о соответствии требованиям, либо решение об отказе в выдаче дубликата уведомления о несоответствии требованиям)</w:t>
      </w:r>
      <w:r>
        <w:rPr>
          <w:spacing w:val="0"/>
          <w:sz w:val="28"/>
        </w:rPr>
        <w:t>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2.3.4. Результат предоставления муниципальной услуги фиксируется в журнале регистрации Уполномоченного органа.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2.3.5. Результат предоставления муниципальной услуги выдается Заявителю в форме документа на бумажном носителе посредством личного приема в Уполномоченном органе или направляется почтовым отправлением с уведомлением о вручении, либо в форме электронного документа, подписанного электронной подписью в соответствии с требованиями Федерального закона от 06.04.2011 № 63-ФЗ «Об электронной подписи» (далее - Федеральный закон от 06.04.2011 № 63-ФЗ) в федеральной государственной информационной системе «Единый портал государственных и муниципальных услуг (функций)» (https://www.gosuslugi.ru/) (далее – ЕПГУ), региональном портале государственных и муниципальных услуг (далее - РПГУ).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2.4. Срок предоставления муниципальной услуги.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 xml:space="preserve">Максимальный срок предоставления муниципальной услуги, который исчисляется со дня </w:t>
      </w:r>
      <w:r>
        <w:rPr>
          <w:spacing w:val="0"/>
          <w:sz w:val="28"/>
        </w:rPr>
        <w:t>регистрации</w:t>
      </w:r>
      <w:r>
        <w:rPr>
          <w:spacing w:val="0"/>
          <w:sz w:val="28"/>
        </w:rPr>
        <w:t xml:space="preserve"> уведомления об окончании строительства в Уполномоченный орган.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 xml:space="preserve">2.4.1. При обращении Заявителя в Уполномоченный орган за </w:t>
      </w:r>
      <w:r>
        <w:rPr>
          <w:spacing w:val="0"/>
          <w:sz w:val="28"/>
        </w:rPr>
        <w:t>предоставлением муниципальной услуги</w:t>
      </w:r>
      <w:r>
        <w:rPr>
          <w:spacing w:val="0"/>
          <w:sz w:val="28"/>
        </w:rPr>
        <w:t xml:space="preserve">, максимальный срок предоставления муниципальной услуги составляет </w:t>
      </w:r>
      <w:r>
        <w:rPr>
          <w:spacing w:val="0"/>
          <w:sz w:val="28"/>
        </w:rPr>
        <w:t>5</w:t>
      </w:r>
      <w:r>
        <w:rPr>
          <w:spacing w:val="0"/>
          <w:sz w:val="28"/>
        </w:rPr>
        <w:t xml:space="preserve"> рабочих дней со дня регистрации запроса.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2.4.2. При обращении Заявителя в Уполномоченный орган за исправлением опечаток и (или) ошибок, допущенных в документах, выданных в результате предоставления муниципальной услуги, максимальный срок предоставления муниципальной услуги составляет 5 рабочих дней со дня регистрации запроса.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2.4.3. При обращении Заявителя в Уполномоченный орган за выдачей дубликата документа, являющегося результатом предоставления муниципальной услуги, максимальный срок предоставления муниципальной услуги составляет 5 рабочих дней со дня регистрации запроса.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2.5. Размер платы, взимаемой с Заявителя при предоставлении муниципальной услуги, и способы ее взимания.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Муниципальная услуга предоставляется на безвозмездной основе.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2.6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 xml:space="preserve">2.6.1. Время ожидания при подаче запроса </w:t>
      </w:r>
      <w:r>
        <w:rPr>
          <w:spacing w:val="0"/>
          <w:sz w:val="28"/>
        </w:rPr>
        <w:t>о</w:t>
      </w:r>
      <w:r>
        <w:rPr>
          <w:spacing w:val="0"/>
          <w:sz w:val="28"/>
        </w:rPr>
        <w:t xml:space="preserve"> п</w:t>
      </w:r>
      <w:r>
        <w:rPr>
          <w:spacing w:val="0"/>
          <w:sz w:val="28"/>
        </w:rPr>
        <w:t>редоставлении</w:t>
      </w:r>
      <w:r>
        <w:rPr>
          <w:spacing w:val="0"/>
          <w:sz w:val="28"/>
        </w:rPr>
        <w:t xml:space="preserve"> муниципальной услуги - не более 15 минут.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2.6.2.  Время ожидания в очереди при получении результата предоставления муниципальной услуги не должен превышать 10 минут.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2.7. Срок регистрации запроса Заявителя о предоставлении муниципальной услуги.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 xml:space="preserve">2.7.1. Регистрация уведомления об окончании строительства или реконструкции объекта индивидуального жилищного строительства или садового дома (далее - уведомление об окончании строительства), представленного Заявителем, способом, указанным в пункте 2.11.3 настоящего административного регламента, в Уполномоченный орган, осуществляется не позднее </w:t>
      </w:r>
      <w:r>
        <w:rPr>
          <w:spacing w:val="0"/>
          <w:sz w:val="28"/>
        </w:rPr>
        <w:t>1</w:t>
      </w:r>
      <w:r>
        <w:rPr>
          <w:spacing w:val="0"/>
          <w:sz w:val="28"/>
        </w:rPr>
        <w:t xml:space="preserve"> рабочего дня, следующего за днем его поступления.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В случае предоставления уведомления об окончании строительства в электронной форме посредством ЕПГУ, РПГУ, вне рабочего времени Уполномоченного органа либо в выходной, нерабочий праздничный день, днем поступления уведомления об окончании строительства считается первый рабочий день, следующий за днем предоставления Заявителем указанного уведомления.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Уведомление об окончании строительства считается поступившим в Уполномоченный орган со дня его регистрации.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2.8. Требования к помещениям, в которых предоставля</w:t>
      </w:r>
      <w:r>
        <w:rPr>
          <w:spacing w:val="0"/>
          <w:sz w:val="28"/>
        </w:rPr>
        <w:t>е</w:t>
      </w:r>
      <w:r>
        <w:rPr>
          <w:spacing w:val="0"/>
          <w:sz w:val="28"/>
        </w:rPr>
        <w:t>тся муниципальная услуга размещены на официальном сайте Уполномоченного органа в информационно-телекоммуникационной сети «Интернет»: https://prokopmo.ru/deyatelnost/gosudarstvennye-i-munitsipalnye-uslugi/reglamenty.php, а также на ЕПГУ, РПГУ.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2.9. Показатели качества и доступности муниципальной услуги размещены на официальном сайте Уполномоченного органа в информационно-телекоммуникационной сети «Интернет»: https://prokopmo.ru/deyatelnost/gosudarstvennye-i-munitsipalnye-uslugi/reglamenty.php, а также на ЕПГУ, РПГУ.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2.10. Иные требования к предоставлению муниципальной услуги и особенности предоставления муниципальной услуги в электронной форме.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2.10.1. Перечень услуг, которые являются необходимыми и обязательными для предоставления муниципальной услуги.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Предоставление необходимых и обязательных услуг не требуется.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2.10.2. Перечень информационных систем, используемых для предоставления муниципальной услуги: ЕПГУ, РПГУ.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 xml:space="preserve">2.10.3. Возможность предоставления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уведомления </w:t>
      </w:r>
      <w:r>
        <w:rPr>
          <w:spacing w:val="0"/>
          <w:sz w:val="28"/>
        </w:rPr>
        <w:t xml:space="preserve">о предоставлении муниципальной услуги </w:t>
      </w:r>
      <w:r>
        <w:rPr>
          <w:spacing w:val="0"/>
          <w:sz w:val="28"/>
        </w:rPr>
        <w:t>выразил письменно желание получить запрашиваемые результаты предоставления муниципальной услуги в отношении несовершеннолетнего лично предусмотрена.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2.10.4.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В случае, если Заявитель в момент подачи уведомления о предоставлении муниципальной услуги не выразил письменно желание получить результат муниципальной услуги лично, такой результат вправе получить законный представитель несовершеннолетнего, не являющийся Заявителем.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Законный представитель несовершеннолетнего, в момент подачи уведомления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представителя, уполномоченного на получение результатов муниципальной услуги.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 xml:space="preserve">2.10.5. Возможность предоставления муниципальной услуги в </w:t>
      </w:r>
      <w:r>
        <w:rPr>
          <w:spacing w:val="0"/>
          <w:sz w:val="28"/>
        </w:rPr>
        <w:t xml:space="preserve">многофункциональном центре (далее - </w:t>
      </w:r>
      <w:r>
        <w:rPr>
          <w:spacing w:val="0"/>
          <w:sz w:val="28"/>
        </w:rPr>
        <w:t>МФЦ</w:t>
      </w:r>
      <w:r>
        <w:rPr>
          <w:spacing w:val="0"/>
          <w:sz w:val="28"/>
        </w:rPr>
        <w:t>)</w:t>
      </w:r>
      <w:r>
        <w:rPr>
          <w:spacing w:val="0"/>
          <w:sz w:val="28"/>
        </w:rPr>
        <w:t xml:space="preserve"> (при наличии соответствующего соглашения о взаимодействии) предусмотрена.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МФЦ, в которых организуется предоставление муниципальной услуги, не могут принять решение об отказе в приеме уведомления о предоставлении муниципальной услуги и документов и (или) информации, необходимых для ее предоставления.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2.10.6. Возможность выдачи Заявителю результата предоставления муниципальной услуги в МФЦ, в том числе выдачи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Уполномоченным органом предусмотрена.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2.10.7. Особенности предоставления муниципальной услуги в многофункциональном центре отражены в Федеральн</w:t>
      </w:r>
      <w:r>
        <w:rPr>
          <w:spacing w:val="0"/>
          <w:sz w:val="28"/>
        </w:rPr>
        <w:t>ом</w:t>
      </w:r>
      <w:r>
        <w:rPr>
          <w:spacing w:val="0"/>
          <w:sz w:val="28"/>
        </w:rPr>
        <w:t xml:space="preserve"> закон</w:t>
      </w:r>
      <w:r>
        <w:rPr>
          <w:spacing w:val="0"/>
          <w:sz w:val="28"/>
        </w:rPr>
        <w:t>е</w:t>
      </w:r>
      <w:r>
        <w:rPr>
          <w:spacing w:val="0"/>
          <w:sz w:val="28"/>
        </w:rPr>
        <w:t xml:space="preserve"> от 27.07.2010 </w:t>
      </w:r>
      <w:r>
        <w:rPr>
          <w:spacing w:val="0"/>
          <w:sz w:val="28"/>
        </w:rPr>
        <w:t>№</w:t>
      </w:r>
      <w:r>
        <w:rPr>
          <w:spacing w:val="0"/>
          <w:sz w:val="28"/>
        </w:rPr>
        <w:t xml:space="preserve"> 210-ФЗ «Об организации предоставления государственных и муниципальных услуг».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 xml:space="preserve">2.11. Исчерпывающий перечень документов, необходимых для предоставления муниципальной услуги </w:t>
      </w:r>
      <w:r>
        <w:rPr>
          <w:spacing w:val="0"/>
          <w:sz w:val="28"/>
        </w:rPr>
        <w:t xml:space="preserve">приведен в </w:t>
      </w:r>
      <w:r>
        <w:rPr>
          <w:spacing w:val="0"/>
          <w:sz w:val="28"/>
        </w:rPr>
        <w:t>приложени</w:t>
      </w:r>
      <w:r>
        <w:rPr>
          <w:spacing w:val="0"/>
          <w:sz w:val="28"/>
        </w:rPr>
        <w:t>и</w:t>
      </w:r>
      <w:r>
        <w:rPr>
          <w:spacing w:val="0"/>
          <w:sz w:val="28"/>
        </w:rPr>
        <w:t xml:space="preserve"> № 3 к настоящему административному регламенту.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2.11.1. Для получения муниципальной услуги Заявитель представляет следующие документы: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а) уведомление об окончании строительства. В случае представления уведомления об окончании строительства в электронной форме посредством ЕПГУ, РПГУ, указанное уведомление заполняется путем внесения соответствующих сведений в интерактивную форму на ЕПГУ, РПГУ, и путем представления схематичного изображения построенного или реконструированного объекта капитального строительства на земельном участке. Подготовка уведомления об окончании строительства может осуществляться с использованием пространственных данных и сведений, содержащихся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электронных сервисов указанной информационной системы;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б</w:t>
      </w:r>
      <w:r>
        <w:rPr>
          <w:spacing w:val="0"/>
          <w:sz w:val="28"/>
        </w:rPr>
        <w:t>) 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ЕПГУ, РПГУ,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 - усиленной квалифицированной электронной подписью нотариуса;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в</w:t>
      </w:r>
      <w:r>
        <w:rPr>
          <w:spacing w:val="0"/>
          <w:sz w:val="28"/>
        </w:rPr>
        <w:t>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застройщиком является иностранное юридическое лицо;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г</w:t>
      </w:r>
      <w:r>
        <w:rPr>
          <w:spacing w:val="0"/>
          <w:sz w:val="28"/>
        </w:rPr>
        <w:t>) технический план объекта индивидуального жилищного строительства или садового дома;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д</w:t>
      </w:r>
      <w:r>
        <w:rPr>
          <w:spacing w:val="0"/>
          <w:sz w:val="28"/>
        </w:rPr>
        <w:t>)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случае, если земельный участок, на котором построен или реконструирован объект индивидуального жилищного строительства или садовый дом, принадлежит двум и более гражданам на праве общей долевой собственности или на праве аренды со множественностью лиц на стороне арендатора;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е</w:t>
      </w:r>
      <w:r>
        <w:rPr>
          <w:spacing w:val="0"/>
          <w:sz w:val="28"/>
        </w:rPr>
        <w:t>) сведения из Единого государственного реестра недвижимости об основных характеристиках и зарегистрированных правах на земельный участок);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ж</w:t>
      </w:r>
      <w:r>
        <w:rPr>
          <w:spacing w:val="0"/>
          <w:sz w:val="28"/>
        </w:rPr>
        <w:t>) сведения из Единого государственного реестра юридических лиц (при обращении застройщика, являющегося юридическим лицом) или из Единого государственного реестра индивидуальных предпринимателей (при обращении застройщика, являющегося индивидуальным предпринимателем).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2.11.2. Документы, указанные в подпункте ж, з пункта 2.11.1 направляются Заявителем по собственной инициативе или запрашиваются Уполномоченным органом в рамках межведомственного взаимодействия, если Заявитель не представил указанные документы самостоятельно.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2.11.3. Заявитель или его представитель представляет в Уполномоченный орган уведомление об окончании строительства по форме, согласно приложению № 5 к настоящему административному регламенту, а также прилагаемые к нему документы одним из следующих способов: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а) в электронной форме посредством ЕПГУ, РПГУ;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б) на бумажном носителе посредством личного обращения в Уполномоченный орган, в том числе через МФЦ, либо посредством почтового отправления с уведомлением о вручении.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 xml:space="preserve">2.12.1. Исчерпывающий перечень оснований для отказа в приеме запроса о предоставлении муниципальной услуги и документов, </w:t>
      </w:r>
      <w:r>
        <w:rPr>
          <w:spacing w:val="0"/>
          <w:sz w:val="28"/>
        </w:rPr>
        <w:t>необходимых для предоставления муниципальной услуги представлен в приложении № 4 настоящего административного регламента.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2.12.2. Перечень оснований для приостановления предоставления муниципальной услуги.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Оснований для приостановления предоставления муниципальной услуги не предусмотрено законодательством Российской Федерации.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2.12.3. Перечень оснований для отказа в предоставлении муниципальной услуги.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 xml:space="preserve">Исчерпывающий перечень оснований для </w:t>
      </w:r>
      <w:r>
        <w:rPr>
          <w:spacing w:val="0"/>
          <w:sz w:val="28"/>
        </w:rPr>
        <w:t>отказа в предоставлении муниципальной услуги указан в приложении № 4 настоящего административного регламента.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</w:r>
    </w:p>
    <w:p>
      <w:pPr>
        <w:pStyle w:val="110"/>
        <w:keepNext w:val="true"/>
        <w:keepLines/>
        <w:widowControl w:val="false"/>
        <w:spacing w:lineRule="exact" w:line="322" w:before="0" w:after="0"/>
        <w:ind w:left="0" w:right="0" w:firstLine="709"/>
        <w:jc w:val="center"/>
        <w:rPr>
          <w:sz w:val="28"/>
        </w:rPr>
      </w:pPr>
      <w:bookmarkStart w:id="3" w:name="bookmark37"/>
      <w:bookmarkEnd w:id="3"/>
      <w:r>
        <w:rPr>
          <w:sz w:val="28"/>
        </w:rPr>
        <w:t xml:space="preserve">3. </w:t>
      </w:r>
      <w:r>
        <w:rPr>
          <w:b/>
          <w:sz w:val="28"/>
        </w:rPr>
        <w:t>Состав, последовательность и сроки выполнения</w:t>
      </w:r>
    </w:p>
    <w:p>
      <w:pPr>
        <w:pStyle w:val="Normal"/>
        <w:widowControl w:val="false"/>
        <w:spacing w:lineRule="auto" w:line="240" w:before="0" w:after="0"/>
        <w:ind w:left="0" w:right="0"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административных процедур, требования к порядку</w:t>
      </w:r>
    </w:p>
    <w:p>
      <w:pPr>
        <w:pStyle w:val="Normal"/>
        <w:widowControl w:val="false"/>
        <w:spacing w:lineRule="auto" w:line="240" w:before="0" w:after="0"/>
        <w:ind w:left="0" w:right="0"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их выполнения, в том числе особенности выполнения</w:t>
      </w:r>
    </w:p>
    <w:p>
      <w:pPr>
        <w:pStyle w:val="110"/>
        <w:keepNext w:val="true"/>
        <w:keepLines/>
        <w:widowControl w:val="false"/>
        <w:spacing w:lineRule="exact" w:line="322" w:before="0" w:after="0"/>
        <w:ind w:left="0" w:right="0" w:firstLine="709"/>
        <w:jc w:val="center"/>
        <w:rPr>
          <w:sz w:val="28"/>
        </w:rPr>
      </w:pPr>
      <w:r>
        <w:rPr>
          <w:b/>
          <w:sz w:val="28"/>
        </w:rPr>
        <w:t>административных процедур в электронной форме</w:t>
      </w:r>
    </w:p>
    <w:p>
      <w:pPr>
        <w:pStyle w:val="110"/>
        <w:keepNext w:val="true"/>
        <w:keepLines/>
        <w:widowControl w:val="false"/>
        <w:spacing w:lineRule="exact" w:line="322" w:before="0" w:after="0"/>
        <w:ind w:left="560" w:right="560" w:firstLine="1000"/>
        <w:jc w:val="left"/>
        <w:rPr>
          <w:sz w:val="28"/>
        </w:rPr>
      </w:pPr>
      <w:r>
        <w:rPr>
          <w:sz w:val="28"/>
        </w:rPr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3.1. Исчерпывающий перечень административных процедур: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 xml:space="preserve">1) прием и регистрация уведомления об окончании строительства и документов </w:t>
      </w:r>
      <w:r>
        <w:rPr>
          <w:spacing w:val="0"/>
          <w:sz w:val="28"/>
        </w:rPr>
        <w:t>для</w:t>
      </w:r>
      <w:r>
        <w:rPr>
          <w:spacing w:val="0"/>
          <w:sz w:val="28"/>
        </w:rPr>
        <w:t xml:space="preserve"> предоставлени</w:t>
      </w:r>
      <w:r>
        <w:rPr>
          <w:spacing w:val="0"/>
          <w:sz w:val="28"/>
        </w:rPr>
        <w:t>я</w:t>
      </w:r>
      <w:r>
        <w:rPr>
          <w:spacing w:val="0"/>
          <w:sz w:val="28"/>
        </w:rPr>
        <w:t xml:space="preserve"> муниципальной услуги;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2) формирование и направление межведомственных запросов в органы (организации), участвующие в предоставлении муниципальной услуги (при необходимости);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3) принятие решения о выдаче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или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деятельности;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4) выдача (направление) документов по результатам предоставления муниципальной услуги.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 xml:space="preserve">3.1.1. Прием и регистрация уведомления об окончании строительства и документов </w:t>
      </w:r>
      <w:r>
        <w:rPr>
          <w:spacing w:val="0"/>
          <w:sz w:val="28"/>
        </w:rPr>
        <w:t>для</w:t>
      </w:r>
      <w:r>
        <w:rPr>
          <w:spacing w:val="0"/>
          <w:sz w:val="28"/>
        </w:rPr>
        <w:t xml:space="preserve"> предоставлени</w:t>
      </w:r>
      <w:r>
        <w:rPr>
          <w:spacing w:val="0"/>
          <w:sz w:val="28"/>
        </w:rPr>
        <w:t>я</w:t>
      </w:r>
      <w:r>
        <w:rPr>
          <w:spacing w:val="0"/>
          <w:sz w:val="28"/>
        </w:rPr>
        <w:t xml:space="preserve"> муниципальной услуги.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3.1.1.1. Основанием начала выполнения административной процедуры является поступление от Заявителя уведомления об окончании строительства и документов, необходимых для предоставления муниципальной услуги, в Уполномоченный орган, ЕПГУ, РПГУ, либо через МФЦ.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 xml:space="preserve">3.1.1.2. При личном обращении Заявителя в Уполномоченный орган специалист Уполномоченного органа </w:t>
      </w:r>
      <w:r>
        <w:rPr>
          <w:spacing w:val="0"/>
          <w:sz w:val="28"/>
        </w:rPr>
        <w:t>(далее - специалист)</w:t>
      </w:r>
      <w:r>
        <w:rPr>
          <w:spacing w:val="0"/>
          <w:sz w:val="28"/>
        </w:rPr>
        <w:t>, ответственный за прием и выдачу документов: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- устанавливает личность Заявителя на основании документа, удостоверяющего его личность, представителя заявителя - на основании документов, удостоверяющих его личность и полномочия (в случае обращения представителя);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- проверяет срок действия документа, удостоверяющего его личность и соответствие данных документа, удостоверяющего личность, данным, указанным в уведомлении об окончании строительства и приложенных к нему документах.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В ходе приема документов от Заявителя или уполномоченного им лица специалист, ответственный за прием и выдачу документов, удостоверяется, что: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1) текст в уведомлении об окончании строительства поддается прочтению;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2) в уведомлении об окончании строительства указаны фамилия, имя, отчество (последнее - при наличии) физического лица;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3) уведомление об окончании строительства подписано Заявителем или уполномоченным представителем;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4) прилагаются документы, необходимые для предоставления муниципальной услуги.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При установлении фактов отсутствия необходимых документов, обязанность по предоставлению которых возложена на Заявителя, при несоответствии представленных документов требованиям настоящего административного регламента специалист уведомляет Заявителя о выявленных недостатках в представленных документах и предлагает принять меры по их устранению.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В случае если Заявитель настаивает на принятии документов специалист принимает представленные Заявителем документы.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В случае если Заявитель самостоятельно решил принять меры по устранению недостатков, после их устранения повторно обращается за предоставлением муниципальной услуги в порядке, предусмотренном настоящим административным регламентом.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По окончании приема уведомления об окончании строительства и прилагаемых к нему документов, специалист выдает Заявителю расписку в получении от него документов, с указанием их перечня и даты их получения Уполномоченным органом.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Максимальный срок выполнения административной процедуры по приему и регистрации уведомления об окончании строительства и приложенных к нему документов составляет 1 рабочий день с момента поступления уведомления об окончании строительства.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Результатом административной процедуры является прием и регистрация уведомления об окончании строительства и приложенных к нему документов.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Информация о приеме уведомления об окончании строительства и приложенных к нему документов фиксируется в системе электронного документооборота и (или) журнале регистрации Уполномоченного органа, после чего поступившие документы передаются должностному лицу для рассмотрения и назначения ответственного исполнителя.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 xml:space="preserve">3.1.1.3. Прием и регистрация уведомления об окончании строительства и документов </w:t>
      </w:r>
      <w:r>
        <w:rPr>
          <w:spacing w:val="0"/>
          <w:sz w:val="28"/>
        </w:rPr>
        <w:t>для</w:t>
      </w:r>
      <w:r>
        <w:rPr>
          <w:spacing w:val="0"/>
          <w:sz w:val="28"/>
        </w:rPr>
        <w:t xml:space="preserve"> предоставлени</w:t>
      </w:r>
      <w:r>
        <w:rPr>
          <w:spacing w:val="0"/>
          <w:sz w:val="28"/>
        </w:rPr>
        <w:t>я</w:t>
      </w:r>
      <w:r>
        <w:rPr>
          <w:spacing w:val="0"/>
          <w:sz w:val="28"/>
        </w:rPr>
        <w:t xml:space="preserve"> муниципальной услуги в форме электронных документов через ЕПГУ, РПГУ.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При направлении уведомления об окончании строительства в электронной форме (при наличии технической возможности) Заявителю необходимо заполнить на ЕПГУ, РПГУ электронную форму запроса на предоставление муниципальной услуги, прикрепить к уведомлению об окончании строительства в электронном виде документы, необходимые для предоставления муниципальной услуги.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На ЕПГУ, РПГУ размещается образец заполнения электронной формы уведомления об окончании строительства.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Форматно-логическая проверка сформированного уведомления об окончании строительства осуществляется автоматически после заполнения Заявителем каждого из полей электронной формы уведомления. При выявлении некорректно заполненного поля электронной формы уведомления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Сформированное и подписанное уведомление об окончании строительства и иные документы, необходимые для предоставления муниципальной услуги, направляются в Уполномоченный орган посредством Единого портала.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Специалист при поступлении уведомления об окончании строительства и документов в электронном виде: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- проверяет электронные образы документов на отсутствие компьютерных вирусов и искаженной информации;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- регистрирует документы в системе электронного документооборота Уполномоченного органа, в журнале регистрации, в случае отсутствия системы электронного документооборота;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- формирует и направляет Заявителю электронное уведомление через ЕПГУ, РПГУ о получении и регистрации от Заявителя уведомления об окончании строительства и копий документов, в случае отсутствия технической возможности автоматического уведомления Заявителя через ЕПГУ, РПГУ.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Максимальный срок выполнения административной процедуры по приему и регистрации уведомления об окончании строительства и приложенных к нему документов в форме электронных документов составляет 1 рабочий день с момента получения документов.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Результатом административной процедуры является прием, регистрация уведомления об окончании строительства и приложенных к нему документов.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3.1.1.4. При направлении Заявителем уведомления об окончании строительства и документов в Уполномоченный орган посредством почтовой связи специалист: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- проверяет правильность адресности корреспонденции. Ошибочно (не по адресу) присланные письма возвращаются в организацию почтовой связи невскрытыми;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- вскрывает конверты, проверяет наличие в них уведомления об окончании строительства и документов, обязанность по предоставлению которых возложена на Заявителя;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- проверяет, что уведомление об окончании строительства написано разборчиво, фамилии, имена, отчества (при наличии), наименование, адрес места жительства, адрес местонахождения, написаны полностью;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- проводит первичную проверку представленных копий документов, их соответствие действующему законодательству, а также проверяет, что указанные копии заверены в установленном законодательством порядке;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- проверяет, что копии документов не имеют повреждений, наличие которых не позволяет однозначно истолковать их содержание, отсутствуют подчистки, приписки, зачеркнутые слова, исправления.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Максимальный срок выполнения административной процедуры по приему и регистрации уведомления об окончании строительства и приложенных к нему документов, поступивших посредством почтовой связи, составляет 1 рабочий день с момента получения документов.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Результатом административной процедуры является прием и регистрация уведомления об окончании строительства и приложенных к нему документов.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Информация о приеме уведомления об окончании строительства и приложенных к нему документов фиксируется в системе электронного документооборота Уполномоченного органа, в журнале регистрации, в случае отсутствия системы электронного документооборота.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3.1.2. Формирование и направление межведомственных запросов в органы (организации), участвующие в предоставлении муниципальной услуги (при необходимости).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Для получения муниципальной услуги необходимо направление следующих межведомственных информационных запросов: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 xml:space="preserve">1) при осуществлении межведомственного информационного взаимодействия с использованием </w:t>
      </w:r>
      <w:r>
        <w:rPr>
          <w:spacing w:val="0"/>
          <w:sz w:val="28"/>
        </w:rPr>
        <w:t xml:space="preserve">системы межведомственного взаимодействия (далее - </w:t>
      </w:r>
      <w:r>
        <w:rPr>
          <w:spacing w:val="0"/>
          <w:sz w:val="28"/>
        </w:rPr>
        <w:t>СМЭВ</w:t>
      </w:r>
      <w:r>
        <w:rPr>
          <w:spacing w:val="0"/>
          <w:sz w:val="28"/>
        </w:rPr>
        <w:t>)</w:t>
      </w:r>
      <w:r>
        <w:rPr>
          <w:spacing w:val="0"/>
          <w:sz w:val="28"/>
        </w:rPr>
        <w:t xml:space="preserve"> - информационный запрос «Проверка действительности паспорта». Указанный информационный запрос направляется в Министерство внутренних дел Российской Федерации;</w:t>
      </w:r>
    </w:p>
    <w:p>
      <w:pPr>
        <w:pStyle w:val="44"/>
        <w:bidi w:val="0"/>
        <w:spacing w:lineRule="exact" w:line="322" w:before="0" w:after="0"/>
        <w:ind w:left="20" w:right="0" w:firstLine="720"/>
        <w:jc w:val="both"/>
        <w:rPr>
          <w:spacing w:val="0"/>
          <w:sz w:val="28"/>
        </w:rPr>
      </w:pPr>
      <w:r>
        <w:rPr>
          <w:spacing w:val="0"/>
          <w:sz w:val="28"/>
        </w:rPr>
        <w:t>2) при осуществлении межведомственного информационного взаимодействия с использованием СМЭВ - информационный запрос «Прием обращений в ФГИС ЕГРН». Указанный информационный запрос направляется в публично-правовую компанию «Роскадастр»;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3) при осуществлении межведомственного информационного взаимодействия с использованием СМЭВ - информационный запрос «Предоставление сведений из ЕГРЮЛ/ЕГРИП». Указанный информационный запрос направляется в публично-правовую компанию «ФНС Росии»;</w:t>
      </w:r>
    </w:p>
    <w:p>
      <w:pPr>
        <w:pStyle w:val="44"/>
        <w:bidi w:val="0"/>
        <w:spacing w:lineRule="exact" w:line="322" w:before="0" w:after="0"/>
        <w:ind w:left="20" w:right="0" w:firstLine="720"/>
        <w:rPr/>
      </w:pPr>
      <w:r>
        <w:rPr>
          <w:spacing w:val="0"/>
          <w:sz w:val="28"/>
        </w:rPr>
        <w:t>4</w:t>
      </w:r>
      <w:r>
        <w:rPr>
          <w:spacing w:val="0"/>
          <w:sz w:val="28"/>
        </w:rPr>
        <w:t>) при осуществлении межведомственного информационного взаимодействия с использованием СМЭВ - информационный запрос «Информирование из Единой государственной информационной системы социального обеспечения о лицах, сведения о которых содержатся в реестре лиц, связанных с изменением родительских прав, реестре лиц с измененной дееспособностью и реестре законных представителей». Указанный информационный запрос направляется в Фонд пенсионного и социального страхования Российской Федерации.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Срок направления информационных запросов составляет 1 календарный день с даты регистрации заявления о предоставлении муниципальной услуги уполномоченным органом.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Специалист обязан принять необходимые меры для получения ответа на межведомственные запросы в установленные сроки.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Направление межведомственного запроса допускается только в целях, связанных с предоставлением муниципальной услуги.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В случае не поступления ответа на межведомственный запрос в установленный срок, принимаются меры, предусмотренные законодательством Российской Федерации.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Максимальный срок выполнения данной административной процедуры составляет 2 рабочих дня.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Результатом административной процедуры является получение в рамках межведомственного электронного взаимодействия документов (их копий или сведений, содержащихся в них), необходимых для предоставления муниципальной услуги Заявителю, либо получение информации, свидетельствующей об отсутствии в распоряжении органов (организаций), участвующих в предоставлении муниципальной услуги, документов (их копий или сведений, содержащихся в них), необходимых для предоставления муниципальной услуги.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Фиксация результата выполнения административной процедуры не производится.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 xml:space="preserve">3.1.3 Принятие решения о выдаче уведомления о соответствии требованиям, </w:t>
      </w:r>
      <w:r>
        <w:rPr>
          <w:spacing w:val="0"/>
          <w:sz w:val="28"/>
        </w:rPr>
        <w:t>либо</w:t>
      </w:r>
      <w:r>
        <w:rPr>
          <w:spacing w:val="0"/>
          <w:sz w:val="28"/>
        </w:rPr>
        <w:t xml:space="preserve"> уведомления о несоответствии требованиям.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 xml:space="preserve">Основанием для начала административной процедуры является получение </w:t>
      </w:r>
      <w:r>
        <w:rPr>
          <w:spacing w:val="0"/>
          <w:sz w:val="28"/>
        </w:rPr>
        <w:t>специалистом</w:t>
      </w:r>
      <w:r>
        <w:rPr>
          <w:spacing w:val="0"/>
          <w:sz w:val="28"/>
        </w:rPr>
        <w:t xml:space="preserve"> документов, указанных в пункте 2.11.1 настоящего административного регламента, в том числе по каналам межведомственного информационного взаимодействия, либо информации, свидетельствующей об отсутствии в распоряжении органов (организаций), участвующих в предоставлении муниципальной услуги, документов (их копий или содержащихся в них сведений), необходимых для предоставления муниципальной услуги.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С</w:t>
      </w:r>
      <w:r>
        <w:rPr>
          <w:spacing w:val="0"/>
          <w:sz w:val="28"/>
        </w:rPr>
        <w:t xml:space="preserve">пециалист проводит анализ представленных документов на наличие оснований для принятия решения, и подготавливает уведомление о соответствии требованиям, </w:t>
      </w:r>
      <w:r>
        <w:rPr>
          <w:spacing w:val="0"/>
          <w:sz w:val="28"/>
        </w:rPr>
        <w:t>либо</w:t>
      </w:r>
      <w:r>
        <w:rPr>
          <w:spacing w:val="0"/>
          <w:sz w:val="28"/>
        </w:rPr>
        <w:t xml:space="preserve"> уведомление о несоответствии требованиям.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Уведомление о соответствии (несоответствии) требованиям подписывается должностным лицом Уполномоченного органа в двух экземплярах.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В случае представления уведомления об окончании строительства через МФЦ документ, подтверждающий принятие решения, направляется в МФЦ, если иной способ его получения не указан Заявителем.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Максимальный срок выполнения административной процедуры принятия решения о выдаче уведомления о соответствии (несоответствии) требованиям не может превышать 1 дня со дня представления в Уполномоченный орган документов, обязанность по представлению которых в соответствии с пунктом 2.11.1 настоящего административного регламента возложена на Заявителя.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Результатом административной процедуры является подготовленное уведомление о соответствии (несоответствии) требованиям.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Результат выполнения административной процедуры фиксируется в системе электронного документооборота Уполномоченного органа, в журнале регистрации.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3.1.4. Выдача (направление) документов по результатам предоставления муниципальной услуги.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Основанием для начала процедуры выдачи документов является наличие подготовленного уведомления о соответствии требованиям или уведомления о несоответствии требованиям.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Максимальный срок выполнения — 1 рабочий день.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Специалист</w:t>
      </w:r>
      <w:r>
        <w:rPr>
          <w:spacing w:val="0"/>
          <w:sz w:val="28"/>
        </w:rPr>
        <w:t xml:space="preserve"> направляет </w:t>
      </w:r>
      <w:r>
        <w:rPr>
          <w:spacing w:val="0"/>
          <w:sz w:val="28"/>
        </w:rPr>
        <w:t>Заявителю</w:t>
      </w:r>
      <w:r>
        <w:rPr>
          <w:spacing w:val="0"/>
          <w:sz w:val="28"/>
        </w:rPr>
        <w:t xml:space="preserve"> способом, указанным в уведомлении об окончании строительства, уведомление о соответствии требованиям </w:t>
      </w:r>
      <w:r>
        <w:rPr>
          <w:spacing w:val="0"/>
          <w:sz w:val="28"/>
        </w:rPr>
        <w:t>или уведомление</w:t>
      </w:r>
      <w:r>
        <w:rPr>
          <w:spacing w:val="0"/>
          <w:sz w:val="28"/>
        </w:rPr>
        <w:t xml:space="preserve"> о несоответствии требованиям с указанием всех оснований для направления такого уведомления.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Результат выполнения административной процедуры фиксируется в системе электронного документооборота Уполномоченного органа и в журнале регистрации.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3.2 Порядок исправления опечаток и (или) ошибок, допущенных в документах, выданных в результате предоставления муниципальной услуги.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Заявитель вправе обратиться в Уполномоченный орган с заявлением об исправлении допущенных опечаток и ошибок в уведомлении о соответствии требованиям, уведомлении о несоответствии требованиям (далее - заявление об исправлении допущенных опечаток и ошибок).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 xml:space="preserve">В случае подтверждения наличия допущенных опечаток, ошибок в уведомлении о соответствии требованиям, уведомлении о несоответствии требованиям </w:t>
      </w:r>
      <w:r>
        <w:rPr>
          <w:spacing w:val="0"/>
          <w:sz w:val="28"/>
        </w:rPr>
        <w:t>специалист</w:t>
      </w:r>
      <w:r>
        <w:rPr>
          <w:spacing w:val="0"/>
          <w:sz w:val="28"/>
        </w:rPr>
        <w:t xml:space="preserve"> вносит исправления в ранее выданное уведомление о соответствии требованиям, уведомление о несоответствии требованиям. Дата и номер выданного уведомления о соответствии требованиям, уведомления о несоответствии требованиям не изменяются, а в соответствующей графе формы уведомления о соответствии </w:t>
      </w:r>
      <w:r>
        <w:rPr>
          <w:spacing w:val="0"/>
          <w:sz w:val="28"/>
        </w:rPr>
        <w:t>т</w:t>
      </w:r>
      <w:r>
        <w:rPr>
          <w:spacing w:val="0"/>
          <w:sz w:val="28"/>
        </w:rPr>
        <w:t>ребованиям, уведомления о несоответствии требованиям указывается основание для внесения исправлений (реквизиты заявления об исправлении допущенных опечаток и ошибок и ссылка на соответствующую норму Градостроительного кодекса Российской Федерации) и дата внесения исправлений.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 xml:space="preserve">Уведомление о соответствии требованиям, уведомление о несоответствии требованиям с внесенными исправлениями допущенных опечаток и ошибок, либо решение об отказе о внесении исправлений в уведомление о соответствии требованиям, решение об отказе о внесении исправлений в уведомление о несоответствии требованиям направляется Заявителю способом, указанным в заявлении об исправлении допущенных опечаток и ошибок, в течение </w:t>
      </w:r>
      <w:r>
        <w:rPr>
          <w:spacing w:val="0"/>
          <w:sz w:val="28"/>
        </w:rPr>
        <w:t xml:space="preserve">5 </w:t>
      </w:r>
      <w:r>
        <w:rPr>
          <w:spacing w:val="0"/>
          <w:sz w:val="28"/>
        </w:rPr>
        <w:t>рабочих дней с даты поступления заявления об исправлении допущенных опечаток и ошибок.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Исчерпывающий перечень оснований для отказа в исправлении допущенных опечаток и ошибок в уведомлении о соответствии требованиям, уведомлении о несоответствии требованиям: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 xml:space="preserve">а) несоответствие </w:t>
      </w:r>
      <w:r>
        <w:rPr>
          <w:spacing w:val="0"/>
          <w:sz w:val="28"/>
        </w:rPr>
        <w:t>З</w:t>
      </w:r>
      <w:r>
        <w:rPr>
          <w:spacing w:val="0"/>
          <w:sz w:val="28"/>
        </w:rPr>
        <w:t>аявителя кругу лиц, указанных в пункте 1.2 настоящего административного регламента;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б) отсутствие факта допущения опечаток и ошибок в уведомлении о соответствии требованиям, уведомлении о несоответствии требованиям.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3.3. Порядок выдачи дубликата уведомления о соответствии требованиям, дубликата уведомления о несоответствии  требованиям.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Заявитель вправе обратиться в Уполномоченный орган с заявлением о выдаче дубликата уведомления о соответствии требованиям, дубликата уведомления о несоответствии требованиям (далее - заявление о выдаче дубликата).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 xml:space="preserve">В случае отсутствия оснований для отказа в выдаче дубликата уведомления о соответствии требованиям, дубликата уведомления о несоответствии требованиям </w:t>
      </w:r>
      <w:r>
        <w:rPr>
          <w:spacing w:val="0"/>
          <w:sz w:val="28"/>
        </w:rPr>
        <w:t>специалист</w:t>
      </w:r>
      <w:r>
        <w:rPr>
          <w:spacing w:val="0"/>
          <w:sz w:val="28"/>
        </w:rPr>
        <w:t xml:space="preserve"> выдает дубликат уведомления о соответствии требованиям, дубликат уведомления о несоответствии требованиям с тем же регистрационным номером, который был указан в ранее выданном уведомлении о соответствии требованиям, уведомлении о несоответствии требованиям. В случае, если ранее </w:t>
      </w:r>
      <w:r>
        <w:rPr>
          <w:spacing w:val="0"/>
          <w:sz w:val="28"/>
        </w:rPr>
        <w:t>З</w:t>
      </w:r>
      <w:r>
        <w:rPr>
          <w:spacing w:val="0"/>
          <w:sz w:val="28"/>
        </w:rPr>
        <w:t xml:space="preserve">аявителю было выдано уведомление о соответствии требованиям, уведомление о несоответствии требованиям в форме электронного документа, подписанного усиленной квалифицированной электронной подписью уполномоченного должностного лица, то дубликат уведомления о соответствии требованиям, </w:t>
      </w:r>
      <w:r>
        <w:rPr>
          <w:spacing w:val="0"/>
          <w:sz w:val="28"/>
        </w:rPr>
        <w:t xml:space="preserve">дубликат </w:t>
      </w:r>
      <w:r>
        <w:rPr>
          <w:spacing w:val="0"/>
          <w:sz w:val="28"/>
        </w:rPr>
        <w:t>уведомления о несоответствии требованиям Заявителю представляется в электронном виде.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 xml:space="preserve">Дубликат уведомления о соответствии требованиям, </w:t>
      </w:r>
      <w:r>
        <w:rPr>
          <w:spacing w:val="0"/>
          <w:sz w:val="28"/>
        </w:rPr>
        <w:t xml:space="preserve">дубликат </w:t>
      </w:r>
      <w:r>
        <w:rPr>
          <w:spacing w:val="0"/>
          <w:sz w:val="28"/>
        </w:rPr>
        <w:t xml:space="preserve">уведомления о несоответствии требованиям,  либо решение об отказе в выдаче дубликата уведомления о соответствии требованиям, решение об отказе в выдаче дубликата уведомления о несоответствии требованиям направляется Заявителю способом, указанным Заявителем в заявлении о выдаче дубликата, в течение </w:t>
      </w:r>
      <w:r>
        <w:rPr>
          <w:spacing w:val="0"/>
          <w:sz w:val="28"/>
        </w:rPr>
        <w:t xml:space="preserve">5 </w:t>
      </w:r>
      <w:r>
        <w:rPr>
          <w:spacing w:val="0"/>
          <w:sz w:val="28"/>
        </w:rPr>
        <w:t>рабочих дней с даты поступления заявления о выдаче дубликата.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 xml:space="preserve">Исчерпывающий перечень оснований для отказа в выдаче дубликата уведомления о соответствии требованиям, </w:t>
      </w:r>
      <w:r>
        <w:rPr>
          <w:spacing w:val="0"/>
          <w:sz w:val="28"/>
        </w:rPr>
        <w:t xml:space="preserve">дубликата </w:t>
      </w:r>
      <w:r>
        <w:rPr>
          <w:spacing w:val="0"/>
          <w:sz w:val="28"/>
        </w:rPr>
        <w:t xml:space="preserve">уведомления о несоответствии требованиям: несоответствие </w:t>
      </w:r>
      <w:r>
        <w:rPr>
          <w:spacing w:val="0"/>
          <w:sz w:val="28"/>
        </w:rPr>
        <w:t>З</w:t>
      </w:r>
      <w:r>
        <w:rPr>
          <w:spacing w:val="0"/>
          <w:sz w:val="28"/>
        </w:rPr>
        <w:t>аявителя кругу лиц, указанных в пункте 1.2 настоящего административного регламента.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3.4. В случае отсутствия в уведомлении об окончании строительства сведений, предусмотренных абзацем первым части 16 статьи 55 Градостроительного кодекса Российской Федерации, или отсутствия документов, прилагаемых к нему и предусмотренных пунктами 1 - 3 части 16 статьи 55 Градостроительного кодекса Российской Федерации, а также в случае, если уведомление об окончании строительства поступило после истечения десяти лет со дня поступления уведомления о планируемом строительстве, в соответствии с которым осуществлялись строительство или реконструкция объекта индивидуального жилищного строительства или садового дома, либо уведомление о планируемом строительстве таких объекта индивидуального жилищного строительства или садового дома ранее не направлялось (в том числе было возвращено застройщику в соответствии с частью 6 статьи 51.1 Градостроительного кодекса Российской Федерации), уполномоченные на выдачу разрешений на строительство федеральный орган исполнительной власти, исполнительный орган субъекта Российской Федерации или орган местного самоуправления в течение трех рабочих дней со дня поступления уведомления об окончании строительства возвращает застройщику уведомление об окончании строительства и прилагаемые к нему документы без рассмотрения с указанием причин возврата. В этом случае уведомление об окончании строительства считается ненаправленным.</w:t>
      </w:r>
      <w:bookmarkStart w:id="4" w:name="bookmark38"/>
      <w:bookmarkEnd w:id="4"/>
    </w:p>
    <w:p>
      <w:pPr>
        <w:pStyle w:val="Normal"/>
        <w:widowControl w:val="false"/>
        <w:spacing w:lineRule="exact" w:line="322" w:before="0" w:after="0"/>
        <w:ind w:left="20" w:right="20" w:firstLine="720"/>
        <w:jc w:val="both"/>
        <w:rPr>
          <w:rFonts w:ascii="Times New Roman" w:hAnsi="Times New Roman"/>
          <w:b w:val="false"/>
          <w:color w:val="000000"/>
          <w:sz w:val="28"/>
        </w:rPr>
      </w:pPr>
      <w:r>
        <w:rPr>
          <w:rFonts w:ascii="Times New Roman" w:hAnsi="Times New Roman"/>
          <w:b w:val="false"/>
          <w:color w:val="000000"/>
          <w:sz w:val="28"/>
        </w:rPr>
        <w:t>3.</w:t>
      </w:r>
      <w:r>
        <w:rPr>
          <w:rFonts w:ascii="Times New Roman" w:hAnsi="Times New Roman"/>
          <w:b w:val="false"/>
          <w:color w:val="000000"/>
          <w:sz w:val="28"/>
        </w:rPr>
        <w:t>5</w:t>
      </w:r>
      <w:r>
        <w:rPr>
          <w:rFonts w:ascii="Times New Roman" w:hAnsi="Times New Roman"/>
          <w:b w:val="false"/>
          <w:color w:val="000000"/>
          <w:sz w:val="28"/>
        </w:rPr>
        <w:t xml:space="preserve">. </w:t>
      </w:r>
      <w:r>
        <w:rPr>
          <w:rFonts w:ascii="Times New Roman" w:hAnsi="Times New Roman"/>
          <w:b w:val="false"/>
          <w:color w:val="000000"/>
          <w:sz w:val="28"/>
        </w:rPr>
        <w:t>Муниципальная услуга не предполагает предоставление в упреждающем (проактивном) режиме.</w:t>
      </w:r>
    </w:p>
    <w:p>
      <w:pPr>
        <w:pStyle w:val="Normal"/>
        <w:widowControl w:val="false"/>
        <w:spacing w:lineRule="exact" w:line="322" w:before="0" w:after="0"/>
        <w:ind w:left="20" w:right="20" w:firstLine="720"/>
        <w:jc w:val="both"/>
        <w:rPr>
          <w:rFonts w:ascii="Times New Roman" w:hAnsi="Times New Roman"/>
          <w:b w:val="false"/>
          <w:color w:val="000000"/>
          <w:sz w:val="28"/>
        </w:rPr>
      </w:pPr>
      <w:r>
        <w:rPr>
          <w:rFonts w:ascii="Times New Roman" w:hAnsi="Times New Roman"/>
          <w:b w:val="false"/>
          <w:color w:val="000000"/>
          <w:sz w:val="28"/>
        </w:rPr>
      </w:r>
    </w:p>
    <w:p>
      <w:pPr>
        <w:pStyle w:val="Normal"/>
        <w:keepNext w:val="true"/>
        <w:keepLines/>
        <w:widowControl w:val="false"/>
        <w:numPr>
          <w:ilvl w:val="0"/>
          <w:numId w:val="0"/>
        </w:numPr>
        <w:spacing w:lineRule="exact" w:line="322" w:before="0" w:after="0"/>
        <w:ind w:left="0" w:right="0" w:firstLine="709"/>
        <w:jc w:val="center"/>
        <w:outlineLvl w:val="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4. Способы информирования заявителя об изменении статуса рассмотрения запроса о предоставлении муниципальной услуги</w:t>
      </w:r>
    </w:p>
    <w:p>
      <w:pPr>
        <w:pStyle w:val="Normal"/>
        <w:keepNext w:val="true"/>
        <w:keepLines/>
        <w:widowControl w:val="false"/>
        <w:numPr>
          <w:ilvl w:val="0"/>
          <w:numId w:val="0"/>
        </w:numPr>
        <w:spacing w:lineRule="exact" w:line="322" w:before="0" w:after="0"/>
        <w:ind w:left="0" w:right="0" w:firstLine="709"/>
        <w:jc w:val="center"/>
        <w:outlineLvl w:val="0"/>
        <w:rPr>
          <w:rFonts w:ascii="Times New Roman" w:hAnsi="Times New Roman"/>
          <w:b w:val="false"/>
          <w:color w:val="000000"/>
          <w:sz w:val="28"/>
        </w:rPr>
      </w:pPr>
      <w:r>
        <w:rPr>
          <w:rFonts w:ascii="Times New Roman" w:hAnsi="Times New Roman"/>
          <w:b w:val="false"/>
          <w:color w:val="000000"/>
          <w:sz w:val="28"/>
        </w:rPr>
      </w:r>
    </w:p>
    <w:p>
      <w:pPr>
        <w:pStyle w:val="Normal"/>
        <w:widowControl/>
        <w:ind w:left="0" w:right="0" w:firstLine="709"/>
        <w:jc w:val="both"/>
        <w:rPr>
          <w:rFonts w:ascii="Times New Roman" w:hAnsi="Times New Roman"/>
          <w:b w:val="false"/>
          <w:color w:val="000000"/>
          <w:sz w:val="28"/>
        </w:rPr>
      </w:pPr>
      <w:r>
        <w:rPr>
          <w:rFonts w:ascii="Times New Roman" w:hAnsi="Times New Roman"/>
          <w:b w:val="false"/>
          <w:color w:val="000000"/>
          <w:sz w:val="28"/>
        </w:rPr>
        <w:t>Перечень способов информирования заявителя об изменении статуса рассмотрения заявления:</w:t>
      </w:r>
    </w:p>
    <w:p>
      <w:pPr>
        <w:pStyle w:val="Normal"/>
        <w:widowControl/>
        <w:jc w:val="both"/>
        <w:rPr>
          <w:rFonts w:ascii="Times New Roman" w:hAnsi="Times New Roman"/>
          <w:b w:val="false"/>
          <w:color w:val="000000"/>
          <w:sz w:val="28"/>
        </w:rPr>
      </w:pPr>
      <w:r>
        <w:rPr>
          <w:rFonts w:ascii="Times New Roman" w:hAnsi="Times New Roman"/>
          <w:b w:val="false"/>
          <w:color w:val="000000"/>
          <w:sz w:val="28"/>
        </w:rPr>
      </w:r>
    </w:p>
    <w:p>
      <w:pPr>
        <w:pStyle w:val="Normal"/>
        <w:widowControl/>
        <w:ind w:left="709" w:right="0" w:hanging="0"/>
        <w:jc w:val="both"/>
        <w:rPr>
          <w:rFonts w:ascii="Times New Roman" w:hAnsi="Times New Roman"/>
          <w:b w:val="false"/>
          <w:color w:val="000000"/>
          <w:sz w:val="28"/>
        </w:rPr>
      </w:pPr>
      <w:r>
        <w:rPr>
          <w:rFonts w:ascii="Times New Roman" w:hAnsi="Times New Roman"/>
          <w:b w:val="false"/>
          <w:color w:val="000000"/>
          <w:sz w:val="28"/>
        </w:rPr>
        <w:t>а) посредством Е</w:t>
      </w:r>
      <w:r>
        <w:rPr>
          <w:rFonts w:ascii="Times New Roman" w:hAnsi="Times New Roman"/>
          <w:b w:val="false"/>
          <w:color w:val="000000"/>
          <w:sz w:val="28"/>
        </w:rPr>
        <w:t>ПГУ</w:t>
      </w:r>
      <w:r>
        <w:rPr>
          <w:rFonts w:ascii="Times New Roman" w:hAnsi="Times New Roman"/>
          <w:b w:val="false"/>
          <w:color w:val="000000"/>
          <w:sz w:val="28"/>
        </w:rPr>
        <w:t>;</w:t>
      </w:r>
    </w:p>
    <w:p>
      <w:pPr>
        <w:pStyle w:val="Normal"/>
        <w:widowControl/>
        <w:ind w:left="709" w:right="0" w:hanging="0"/>
        <w:jc w:val="both"/>
        <w:rPr>
          <w:rFonts w:ascii="Times New Roman" w:hAnsi="Times New Roman"/>
          <w:b w:val="false"/>
          <w:color w:val="000000"/>
          <w:sz w:val="28"/>
        </w:rPr>
      </w:pPr>
      <w:r>
        <w:rPr>
          <w:rFonts w:ascii="Times New Roman" w:hAnsi="Times New Roman"/>
          <w:b w:val="false"/>
          <w:color w:val="000000"/>
          <w:sz w:val="28"/>
        </w:rPr>
        <w:t>б) посредством Р</w:t>
      </w:r>
      <w:r>
        <w:rPr>
          <w:rFonts w:ascii="Times New Roman" w:hAnsi="Times New Roman"/>
          <w:b w:val="false"/>
          <w:color w:val="000000"/>
          <w:sz w:val="28"/>
        </w:rPr>
        <w:t>ПГУ</w:t>
      </w:r>
      <w:r>
        <w:rPr>
          <w:rFonts w:ascii="Times New Roman" w:hAnsi="Times New Roman"/>
          <w:b w:val="false"/>
          <w:color w:val="000000"/>
          <w:sz w:val="28"/>
        </w:rPr>
        <w:t>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footerReference w:type="default" r:id="rId3"/>
          <w:type w:val="nextPage"/>
          <w:pgSz w:w="11906" w:h="16838"/>
          <w:pgMar w:left="1701" w:right="850" w:gutter="0" w:header="0" w:top="1134" w:footer="3" w:bottom="1134"/>
          <w:pgNumType w:start="244" w:fmt="decimal"/>
          <w:formProt w:val="false"/>
          <w:textDirection w:val="lrTb"/>
          <w:docGrid w:type="default" w:linePitch="100" w:charSpace="0"/>
        </w:sectPr>
        <w:pStyle w:val="Normal"/>
        <w:rPr/>
      </w:pPr>
      <w:r>
        <w:rPr/>
      </w:r>
      <w:r>
        <w:br w:type="page"/>
      </w:r>
    </w:p>
    <w:tbl>
      <w:tblPr>
        <w:tblW w:w="9462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5"/>
        <w:gridCol w:w="1261"/>
        <w:gridCol w:w="2882"/>
        <w:gridCol w:w="3624"/>
        <w:gridCol w:w="1250"/>
      </w:tblGrid>
      <w:tr>
        <w:trPr/>
        <w:tc>
          <w:tcPr>
            <w:tcW w:w="4588" w:type="dxa"/>
            <w:gridSpan w:val="3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</w:rPr>
            </w:pPr>
            <w:r>
              <w:rPr>
                <w:b w:val="false"/>
              </w:rPr>
            </w:r>
          </w:p>
        </w:tc>
        <w:tc>
          <w:tcPr>
            <w:tcW w:w="4874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5812" w:leader="none"/>
              </w:tabs>
              <w:spacing w:lineRule="auto" w:line="240" w:before="0" w:after="0"/>
              <w:ind w:left="0" w:right="0" w:firstLine="709"/>
              <w:jc w:val="right"/>
              <w:rPr>
                <w:rFonts w:ascii="Times New Roman" w:hAnsi="Times New Roman"/>
                <w:b w:val="false"/>
                <w:sz w:val="24"/>
              </w:rPr>
            </w:pPr>
            <w:r>
              <w:rPr>
                <w:rFonts w:ascii="Times New Roman" w:hAnsi="Times New Roman"/>
                <w:b w:val="false"/>
                <w:sz w:val="24"/>
              </w:rPr>
              <w:t>Приложение № 1</w:t>
            </w:r>
          </w:p>
          <w:p>
            <w:pPr>
              <w:pStyle w:val="Normal"/>
              <w:widowControl/>
              <w:tabs>
                <w:tab w:val="clear" w:pos="708"/>
                <w:tab w:val="left" w:pos="5812" w:leader="none"/>
              </w:tabs>
              <w:spacing w:lineRule="auto" w:line="240" w:before="0" w:after="0"/>
              <w:ind w:left="0" w:right="0" w:firstLine="709"/>
              <w:jc w:val="right"/>
              <w:rPr>
                <w:rFonts w:ascii="Times New Roman" w:hAnsi="Times New Roman"/>
                <w:b w:val="false"/>
              </w:rPr>
            </w:pPr>
            <w:r>
              <w:rPr>
                <w:rFonts w:ascii="Times New Roman" w:hAnsi="Times New Roman"/>
                <w:b w:val="false"/>
              </w:rPr>
              <w:t>к административному регламенту</w:t>
            </w:r>
          </w:p>
          <w:p>
            <w:pPr>
              <w:pStyle w:val="Normal"/>
              <w:jc w:val="right"/>
              <w:rPr/>
            </w:pPr>
            <w:r>
              <w:rPr>
                <w:rFonts w:ascii="Times New Roman" w:hAnsi="Times New Roman"/>
                <w:b w:val="false"/>
                <w:sz w:val="24"/>
              </w:rPr>
              <w:t xml:space="preserve">предоставления муниципальной услуги </w:t>
            </w:r>
            <w:r>
              <w:rPr>
                <w:rFonts w:ascii="Times New Roman" w:hAnsi="Times New Roman"/>
                <w:b w:val="false"/>
              </w:rPr>
              <w:t xml:space="preserve">«Направление уведомления о соответствии </w:t>
            </w:r>
          </w:p>
          <w:p>
            <w:pPr>
              <w:pStyle w:val="Normal"/>
              <w:jc w:val="right"/>
              <w:rPr>
                <w:rFonts w:ascii="Times New Roman" w:hAnsi="Times New Roman"/>
                <w:b w:val="false"/>
              </w:rPr>
            </w:pPr>
            <w:r>
              <w:rPr>
                <w:rFonts w:ascii="Times New Roman" w:hAnsi="Times New Roman"/>
                <w:b w:val="false"/>
              </w:rPr>
              <w:t xml:space="preserve">построенных или реконструированных объектов индивидуального жилищного </w:t>
            </w:r>
          </w:p>
          <w:p>
            <w:pPr>
              <w:pStyle w:val="Normal"/>
              <w:jc w:val="right"/>
              <w:rPr>
                <w:rFonts w:ascii="Times New Roman" w:hAnsi="Times New Roman"/>
                <w:b w:val="false"/>
              </w:rPr>
            </w:pPr>
            <w:r>
              <w:rPr>
                <w:rFonts w:ascii="Times New Roman" w:hAnsi="Times New Roman"/>
                <w:b w:val="false"/>
              </w:rPr>
              <w:t xml:space="preserve">строительства или садового дома </w:t>
            </w:r>
          </w:p>
          <w:p>
            <w:pPr>
              <w:pStyle w:val="Normal"/>
              <w:jc w:val="right"/>
              <w:rPr>
                <w:rFonts w:ascii="Times New Roman" w:hAnsi="Times New Roman"/>
                <w:b w:val="false"/>
              </w:rPr>
            </w:pPr>
            <w:r>
              <w:rPr>
                <w:rFonts w:ascii="Times New Roman" w:hAnsi="Times New Roman"/>
                <w:b w:val="false"/>
              </w:rPr>
              <w:t xml:space="preserve">требованиям законодательства </w:t>
            </w:r>
          </w:p>
          <w:p>
            <w:pPr>
              <w:pStyle w:val="Normal"/>
              <w:jc w:val="right"/>
              <w:rPr>
                <w:rFonts w:ascii="Times New Roman" w:hAnsi="Times New Roman"/>
                <w:b w:val="false"/>
              </w:rPr>
            </w:pPr>
            <w:r>
              <w:rPr>
                <w:rFonts w:ascii="Times New Roman" w:hAnsi="Times New Roman"/>
                <w:b w:val="false"/>
              </w:rPr>
              <w:t xml:space="preserve">Российской Федерации о </w:t>
            </w:r>
          </w:p>
          <w:p>
            <w:pPr>
              <w:pStyle w:val="Normal"/>
              <w:jc w:val="right"/>
              <w:rPr>
                <w:rFonts w:ascii="Times New Roman" w:hAnsi="Times New Roman"/>
                <w:b w:val="false"/>
              </w:rPr>
            </w:pPr>
            <w:r>
              <w:rPr>
                <w:rFonts w:ascii="Times New Roman" w:hAnsi="Times New Roman"/>
                <w:b w:val="false"/>
              </w:rPr>
              <w:t>градостроительной деятельности»</w:t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</w:rPr>
            </w:pPr>
            <w:r>
              <w:rPr>
                <w:b w:val="false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9462" w:type="dxa"/>
            <w:gridSpan w:val="5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Перечень условных обозначений и сокращений</w:t>
            </w:r>
          </w:p>
        </w:tc>
      </w:tr>
      <w:tr>
        <w:trPr>
          <w:trHeight w:val="227" w:hRule="atLeast"/>
        </w:trPr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</w:rPr>
            </w:pPr>
            <w:r>
              <w:rPr>
                <w:b w:val="false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</w:rPr>
            </w:pPr>
            <w:r>
              <w:rPr>
                <w:b w:val="false"/>
              </w:rPr>
            </w:r>
          </w:p>
        </w:tc>
      </w:tr>
      <w:tr>
        <w:trPr>
          <w:trHeight w:val="200" w:hRule="atLeast"/>
        </w:trPr>
        <w:tc>
          <w:tcPr>
            <w:tcW w:w="9462" w:type="dxa"/>
            <w:gridSpan w:val="5"/>
            <w:tcBorders/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1. Условные сокращения:</w:t>
            </w:r>
          </w:p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а) административный регламент - настоящий административный регламент предоставления муниципальной услуги;</w:t>
            </w:r>
          </w:p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 xml:space="preserve">б) муниципальная услуга - муниципальная услуга по направлению </w:t>
            </w:r>
            <w:r>
              <w:rPr>
                <w:b w:val="false"/>
                <w:sz w:val="28"/>
              </w:rPr>
              <w:t>у</w:t>
            </w:r>
            <w:r>
              <w:rPr>
                <w:b w:val="false"/>
                <w:color w:val="000000"/>
                <w:spacing w:val="0"/>
                <w:sz w:val="23"/>
              </w:rPr>
              <w:t>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деятельности, либо несоответствии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деятельности;</w:t>
            </w:r>
          </w:p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в) заявитель - застройщик;</w:t>
            </w:r>
          </w:p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г) представитель заявителя - лица, обладающие соответствующими полномочиями;</w:t>
            </w:r>
          </w:p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д) Уполномоченный орган – отдел архитектуры и строительства администрации Прокопьевского муниципального округа;</w:t>
            </w:r>
          </w:p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е) МФЦ - отдел «Мои Документы» Прокопьевский район  ГАУ «УМФЦ Кузбасса»;</w:t>
            </w:r>
          </w:p>
          <w:p>
            <w:pPr>
              <w:pStyle w:val="2111111111"/>
              <w:widowControl/>
              <w:jc w:val="both"/>
              <w:rPr/>
            </w:pPr>
            <w:r>
              <w:rPr>
                <w:b w:val="false"/>
              </w:rPr>
              <w:t>ж) региональный реестр - государственная информационная система «Реестр государственных и муниципальных услуг (</w:t>
            </w:r>
            <w:hyperlink r:id="rId4">
              <w:r>
                <w:rPr>
                  <w:rStyle w:val="ListLabel2"/>
                  <w:b w:val="false"/>
                </w:rPr>
                <w:t>http://frgu.</w:t>
              </w:r>
            </w:hyperlink>
            <w:r>
              <w:rPr>
                <w:b w:val="false"/>
              </w:rPr>
              <w:t>gosuslugi.ru);</w:t>
            </w:r>
          </w:p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 xml:space="preserve">з) Единый портал, ЕПГУ - федеральная государственная информационная система «Единый портал государственных и муниципальных услуг (функций)» </w:t>
            </w:r>
            <w:r>
              <w:rPr>
                <w:b w:val="false"/>
                <w:color w:val="000000"/>
                <w:spacing w:val="0"/>
                <w:sz w:val="23"/>
              </w:rPr>
              <w:t>(</w:t>
            </w:r>
            <w:hyperlink r:id="rId5">
              <w:r>
                <w:rPr>
                  <w:rStyle w:val="ListLabel3"/>
                  <w:b w:val="false"/>
                  <w:color w:val="000000"/>
                  <w:spacing w:val="0"/>
                  <w:sz w:val="23"/>
                </w:rPr>
                <w:t>https://www.gosuslugi.ru/</w:t>
              </w:r>
            </w:hyperlink>
            <w:r>
              <w:rPr>
                <w:b w:val="false"/>
                <w:color w:val="000000"/>
                <w:spacing w:val="0"/>
                <w:sz w:val="23"/>
              </w:rPr>
              <w:t>);</w:t>
            </w:r>
          </w:p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и) РПГУ – региональный портал государственных и муниципальных услуг;</w:t>
            </w:r>
          </w:p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к) уведомление об окончании строительства - уведомление об окончании строительства или реконструкции объекта индивидуального жилищного строительства или садового дома;</w:t>
            </w:r>
          </w:p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л</w:t>
            </w:r>
            <w:r>
              <w:rPr>
                <w:b w:val="false"/>
              </w:rPr>
              <w:t>) Федеральный закон № 63-ФЗ - Федерального закона от 06.04.2011 № 63-ФЗ «Об электронной подписи»;</w:t>
            </w:r>
          </w:p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м</w:t>
            </w:r>
            <w:r>
              <w:rPr>
                <w:b w:val="false"/>
              </w:rPr>
              <w:t>) ЕСИА - Единая система идентификации и аутентификации;</w:t>
            </w:r>
          </w:p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н</w:t>
            </w:r>
            <w:r>
              <w:rPr>
                <w:b w:val="false"/>
              </w:rPr>
              <w:t>) заявление об исправлении допущенных опечаток и ошибок - з</w:t>
            </w:r>
            <w:r>
              <w:rPr>
                <w:b w:val="false"/>
                <w:color w:val="000000"/>
                <w:spacing w:val="0"/>
                <w:sz w:val="23"/>
              </w:rPr>
              <w:t>аявление об исправлении допущенных опечаток и ошибок в уведомлении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деятельности, уведомлении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деятельности;</w:t>
            </w:r>
          </w:p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о</w:t>
            </w:r>
            <w:r>
              <w:rPr>
                <w:b w:val="false"/>
              </w:rPr>
              <w:t>) заявление о выдаче дубликата - заявление о выд</w:t>
            </w:r>
            <w:r>
              <w:rPr>
                <w:b w:val="false"/>
                <w:color w:val="000000"/>
                <w:spacing w:val="0"/>
                <w:sz w:val="23"/>
              </w:rPr>
              <w:t>аче дубликата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деятельности,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деятельности;</w:t>
            </w:r>
          </w:p>
        </w:tc>
      </w:tr>
      <w:tr>
        <w:trPr/>
        <w:tc>
          <w:tcPr>
            <w:tcW w:w="9462" w:type="dxa"/>
            <w:gridSpan w:val="5"/>
            <w:tcBorders/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 xml:space="preserve"> </w:t>
            </w:r>
            <w:r>
              <w:rPr>
                <w:b w:val="false"/>
              </w:rPr>
              <w:t>п</w:t>
            </w:r>
            <w:r>
              <w:rPr>
                <w:b w:val="false"/>
              </w:rPr>
              <w:t>) АИС МФЦ - автоматизированная информационная система</w:t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р) СМЭВ — система межведомственного информационного взаимодействия</w:t>
            </w:r>
          </w:p>
        </w:tc>
        <w:tc>
          <w:tcPr>
            <w:tcW w:w="1250" w:type="dxa"/>
            <w:tcBorders/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с)  специалист — специалист Уполномоченного органа</w:t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  <w:br/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>
          <w:trHeight w:val="793" w:hRule="atLeast"/>
        </w:trPr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>
          <w:trHeight w:val="2714" w:hRule="atLeast"/>
        </w:trPr>
        <w:tc>
          <w:tcPr>
            <w:tcW w:w="4588" w:type="dxa"/>
            <w:gridSpan w:val="3"/>
            <w:tcBorders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</w:rPr>
            </w:pPr>
            <w:r>
              <w:rPr>
                <w:b w:val="false"/>
              </w:rPr>
            </w:r>
          </w:p>
        </w:tc>
        <w:tc>
          <w:tcPr>
            <w:tcW w:w="4874" w:type="dxa"/>
            <w:gridSpan w:val="2"/>
            <w:tcBorders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5812" w:leader="none"/>
              </w:tabs>
              <w:spacing w:lineRule="auto" w:line="240" w:before="0" w:after="0"/>
              <w:ind w:left="0" w:right="0" w:firstLine="709"/>
              <w:jc w:val="right"/>
              <w:rPr>
                <w:rFonts w:ascii="Times New Roman" w:hAnsi="Times New Roman"/>
                <w:b w:val="false"/>
                <w:sz w:val="24"/>
              </w:rPr>
            </w:pPr>
            <w:r>
              <w:rPr>
                <w:rFonts w:ascii="Times New Roman" w:hAnsi="Times New Roman"/>
                <w:b w:val="false"/>
                <w:sz w:val="24"/>
              </w:rPr>
              <w:t>Приложение № 2</w:t>
            </w:r>
          </w:p>
          <w:p>
            <w:pPr>
              <w:pStyle w:val="Normal"/>
              <w:widowControl/>
              <w:tabs>
                <w:tab w:val="clear" w:pos="708"/>
                <w:tab w:val="left" w:pos="5812" w:leader="none"/>
              </w:tabs>
              <w:spacing w:lineRule="auto" w:line="240" w:before="0" w:after="0"/>
              <w:ind w:left="0" w:right="0" w:firstLine="709"/>
              <w:jc w:val="right"/>
              <w:rPr>
                <w:rFonts w:ascii="Times New Roman" w:hAnsi="Times New Roman"/>
                <w:b w:val="false"/>
              </w:rPr>
            </w:pPr>
            <w:r>
              <w:rPr>
                <w:rFonts w:ascii="Times New Roman" w:hAnsi="Times New Roman"/>
                <w:b w:val="false"/>
              </w:rPr>
              <w:t>к административному регламенту</w:t>
            </w:r>
          </w:p>
          <w:p>
            <w:pPr>
              <w:pStyle w:val="Normal"/>
              <w:jc w:val="right"/>
              <w:rPr/>
            </w:pPr>
            <w:r>
              <w:rPr>
                <w:rFonts w:ascii="Times New Roman" w:hAnsi="Times New Roman"/>
                <w:b w:val="false"/>
                <w:sz w:val="24"/>
              </w:rPr>
              <w:t xml:space="preserve">предоставления муниципальной услуги </w:t>
            </w:r>
            <w:r>
              <w:rPr>
                <w:rFonts w:ascii="Times New Roman" w:hAnsi="Times New Roman"/>
                <w:b w:val="false"/>
              </w:rPr>
              <w:t xml:space="preserve">«Направление уведомления о соответствии </w:t>
            </w:r>
          </w:p>
          <w:p>
            <w:pPr>
              <w:pStyle w:val="Normal"/>
              <w:jc w:val="right"/>
              <w:rPr>
                <w:rFonts w:ascii="Times New Roman" w:hAnsi="Times New Roman"/>
                <w:b w:val="false"/>
              </w:rPr>
            </w:pPr>
            <w:r>
              <w:rPr>
                <w:rFonts w:ascii="Times New Roman" w:hAnsi="Times New Roman"/>
                <w:b w:val="false"/>
              </w:rPr>
              <w:t xml:space="preserve">построенных или реконструированных объектов индивидуального жилищного </w:t>
            </w:r>
          </w:p>
          <w:p>
            <w:pPr>
              <w:pStyle w:val="Normal"/>
              <w:jc w:val="right"/>
              <w:rPr>
                <w:rFonts w:ascii="Times New Roman" w:hAnsi="Times New Roman"/>
                <w:b w:val="false"/>
              </w:rPr>
            </w:pPr>
            <w:r>
              <w:rPr>
                <w:rFonts w:ascii="Times New Roman" w:hAnsi="Times New Roman"/>
                <w:b w:val="false"/>
              </w:rPr>
              <w:t xml:space="preserve">строительства или садового дома </w:t>
            </w:r>
          </w:p>
          <w:p>
            <w:pPr>
              <w:pStyle w:val="Normal"/>
              <w:jc w:val="right"/>
              <w:rPr>
                <w:rFonts w:ascii="Times New Roman" w:hAnsi="Times New Roman"/>
                <w:b w:val="false"/>
              </w:rPr>
            </w:pPr>
            <w:r>
              <w:rPr>
                <w:rFonts w:ascii="Times New Roman" w:hAnsi="Times New Roman"/>
                <w:b w:val="false"/>
              </w:rPr>
              <w:t xml:space="preserve">требованиям законодательства </w:t>
            </w:r>
          </w:p>
          <w:p>
            <w:pPr>
              <w:pStyle w:val="Normal"/>
              <w:jc w:val="right"/>
              <w:rPr>
                <w:rFonts w:ascii="Times New Roman" w:hAnsi="Times New Roman"/>
                <w:b w:val="false"/>
              </w:rPr>
            </w:pPr>
            <w:r>
              <w:rPr>
                <w:rFonts w:ascii="Times New Roman" w:hAnsi="Times New Roman"/>
                <w:b w:val="false"/>
              </w:rPr>
              <w:t xml:space="preserve">Российской Федерации о </w:t>
            </w:r>
          </w:p>
          <w:p>
            <w:pPr>
              <w:pStyle w:val="Normal"/>
              <w:jc w:val="right"/>
              <w:rPr>
                <w:rFonts w:ascii="Times New Roman" w:hAnsi="Times New Roman"/>
                <w:b w:val="false"/>
                <w:sz w:val="24"/>
              </w:rPr>
            </w:pPr>
            <w:r>
              <w:rPr>
                <w:rFonts w:ascii="Times New Roman" w:hAnsi="Times New Roman"/>
                <w:b w:val="false"/>
                <w:sz w:val="24"/>
              </w:rPr>
              <w:t>градостроительной деятельности»</w:t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</w:rPr>
            </w:pPr>
            <w:r>
              <w:rPr>
                <w:b w:val="false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2111111111"/>
              <w:widowControl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Идентификаторы категорий (признаков) заявителей</w:t>
            </w:r>
          </w:p>
        </w:tc>
        <w:tc>
          <w:tcPr>
            <w:tcW w:w="1250" w:type="dxa"/>
            <w:tcBorders/>
          </w:tcPr>
          <w:p>
            <w:pPr>
              <w:pStyle w:val="2111111111"/>
              <w:widowControl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2111111111"/>
              <w:rPr>
                <w:b w:val="false"/>
              </w:rPr>
            </w:pPr>
            <w:r>
              <w:rPr>
                <w:b w:val="false"/>
              </w:rPr>
            </w:r>
          </w:p>
        </w:tc>
        <w:tc>
          <w:tcPr>
            <w:tcW w:w="1250" w:type="dxa"/>
            <w:tcBorders/>
          </w:tcPr>
          <w:p>
            <w:pPr>
              <w:pStyle w:val="2111111111"/>
              <w:rPr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№</w:t>
            </w: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Наименования категорий заявителей</w:t>
            </w:r>
          </w:p>
        </w:tc>
        <w:tc>
          <w:tcPr>
            <w:tcW w:w="6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Результат предоставления услуги</w:t>
            </w:r>
          </w:p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Идентификатор зая</w:t>
            </w:r>
          </w:p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/>
              <w:t>вителей</w:t>
            </w:r>
          </w:p>
        </w:tc>
      </w:tr>
      <w:tr>
        <w:trPr/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1.</w:t>
            </w: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застройщик</w:t>
            </w:r>
          </w:p>
        </w:tc>
        <w:tc>
          <w:tcPr>
            <w:tcW w:w="6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 xml:space="preserve">уведомление о соответствии требованиям 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</w:rPr>
            </w:pPr>
            <w:r>
              <w:rPr>
                <w:b w:val="false"/>
              </w:rPr>
              <w:t>А</w:t>
            </w:r>
          </w:p>
        </w:tc>
      </w:tr>
      <w:tr>
        <w:trPr/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2.</w:t>
            </w: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застройщик</w:t>
            </w:r>
          </w:p>
        </w:tc>
        <w:tc>
          <w:tcPr>
            <w:tcW w:w="6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 xml:space="preserve">уведомление о несоответствии требованиям 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</w:rPr>
            </w:pPr>
            <w:r>
              <w:rPr>
                <w:b w:val="false"/>
              </w:rPr>
              <w:t>Б</w:t>
            </w:r>
          </w:p>
        </w:tc>
      </w:tr>
      <w:tr>
        <w:trPr/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3.</w:t>
            </w: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застройщик</w:t>
            </w:r>
          </w:p>
        </w:tc>
        <w:tc>
          <w:tcPr>
            <w:tcW w:w="6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уведомление о соответствии требованиям с внесенными исправлениями, взамен ранее выданного, либо уведомление о несоответствии требованиям с внесенными исправлениями, взамен ранее выданного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</w:rPr>
            </w:pPr>
            <w:r>
              <w:rPr>
                <w:b w:val="false"/>
              </w:rPr>
              <w:t>В</w:t>
            </w:r>
          </w:p>
        </w:tc>
      </w:tr>
      <w:tr>
        <w:trPr/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4.</w:t>
            </w: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застройщик</w:t>
            </w:r>
          </w:p>
        </w:tc>
        <w:tc>
          <w:tcPr>
            <w:tcW w:w="6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 xml:space="preserve">решение об отказе о внесении исправлений в уведомление о соответствии  требованиям, либо решение об отказе о внесении исправлений в уведомление о несоответствии требованиям 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</w:rPr>
            </w:pPr>
            <w:r>
              <w:rPr>
                <w:b w:val="false"/>
              </w:rPr>
              <w:t>Г</w:t>
            </w:r>
          </w:p>
        </w:tc>
      </w:tr>
      <w:tr>
        <w:trPr/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5.</w:t>
            </w: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застройщик</w:t>
            </w:r>
          </w:p>
        </w:tc>
        <w:tc>
          <w:tcPr>
            <w:tcW w:w="6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дубликат  уведомления о соответствии требованиям, либо дубликат уведомлени</w:t>
            </w:r>
            <w:r>
              <w:rPr>
                <w:b w:val="false"/>
              </w:rPr>
              <w:t>я</w:t>
            </w:r>
            <w:r>
              <w:rPr>
                <w:b w:val="false"/>
              </w:rPr>
              <w:t xml:space="preserve"> о несоответствии требованиям 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</w:rPr>
            </w:pPr>
            <w:r>
              <w:rPr>
                <w:b w:val="false"/>
              </w:rPr>
              <w:t>Д</w:t>
            </w:r>
          </w:p>
        </w:tc>
      </w:tr>
      <w:tr>
        <w:trPr/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6.</w:t>
            </w: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застройщик</w:t>
            </w:r>
          </w:p>
        </w:tc>
        <w:tc>
          <w:tcPr>
            <w:tcW w:w="6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р</w:t>
            </w:r>
            <w:r>
              <w:rPr>
                <w:b w:val="false"/>
                <w:color w:val="000000"/>
                <w:spacing w:val="0"/>
                <w:sz w:val="23"/>
              </w:rPr>
              <w:t>ешение об отказе в выдаче дубликата уведомления о соответствии  требованиям, либо решение об отказе в выдаче дубликата уведомления о несоответствии требованиям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</w:rPr>
            </w:pPr>
            <w:r>
              <w:rPr>
                <w:b w:val="false"/>
              </w:rPr>
              <w:t>Е</w:t>
            </w:r>
          </w:p>
        </w:tc>
      </w:tr>
      <w:tr>
        <w:trPr/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7.</w:t>
            </w: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представитель заявителя</w:t>
            </w:r>
          </w:p>
        </w:tc>
        <w:tc>
          <w:tcPr>
            <w:tcW w:w="6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уведомление о соответствии требованиям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</w:rPr>
            </w:pPr>
            <w:r>
              <w:rPr>
                <w:b w:val="false"/>
              </w:rPr>
              <w:t>Ж</w:t>
            </w:r>
          </w:p>
        </w:tc>
      </w:tr>
      <w:tr>
        <w:trPr/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8.</w:t>
            </w: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представитель заявителя</w:t>
            </w:r>
          </w:p>
        </w:tc>
        <w:tc>
          <w:tcPr>
            <w:tcW w:w="6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 xml:space="preserve">уведомление о несоответствии требованиям 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</w:rPr>
            </w:pPr>
            <w:r>
              <w:rPr>
                <w:b w:val="false"/>
              </w:rPr>
              <w:t>З</w:t>
            </w:r>
          </w:p>
        </w:tc>
      </w:tr>
      <w:tr>
        <w:trPr/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9.</w:t>
            </w: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представитель заявителя</w:t>
            </w:r>
          </w:p>
        </w:tc>
        <w:tc>
          <w:tcPr>
            <w:tcW w:w="6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уведомление о соответствии требованиям с внесенными исправлениями, взамен ранее выданного, либо уведомление о несоответствии требованиям с внесенными исправлениями, взамен ранее выданного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</w:rPr>
            </w:pPr>
            <w:r>
              <w:rPr>
                <w:b w:val="false"/>
              </w:rPr>
              <w:t>И</w:t>
            </w:r>
          </w:p>
        </w:tc>
      </w:tr>
      <w:tr>
        <w:trPr/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10.</w:t>
            </w: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представитель заявителя</w:t>
            </w:r>
          </w:p>
        </w:tc>
        <w:tc>
          <w:tcPr>
            <w:tcW w:w="6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 xml:space="preserve">решение об отказе о внесении исправлений в уведомление о соответствии  требованиям, либо решение об отказе о внесении исправлений в уведомление о несоответствии требованиям 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</w:rPr>
            </w:pPr>
            <w:r>
              <w:rPr>
                <w:b w:val="false"/>
              </w:rPr>
              <w:t>К</w:t>
            </w:r>
          </w:p>
        </w:tc>
      </w:tr>
      <w:tr>
        <w:trPr/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11.</w:t>
            </w: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представитель заявителя</w:t>
            </w:r>
          </w:p>
        </w:tc>
        <w:tc>
          <w:tcPr>
            <w:tcW w:w="6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дубликат  уведомления о соответствии требованиям, либо дубликат уведомлени</w:t>
            </w:r>
            <w:r>
              <w:rPr>
                <w:b w:val="false"/>
              </w:rPr>
              <w:t>я</w:t>
            </w:r>
            <w:r>
              <w:rPr>
                <w:b w:val="false"/>
              </w:rPr>
              <w:t xml:space="preserve"> о несоответствии требованиям 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</w:rPr>
            </w:pPr>
            <w:r>
              <w:rPr>
                <w:b w:val="false"/>
              </w:rPr>
              <w:t>Л</w:t>
            </w:r>
          </w:p>
        </w:tc>
      </w:tr>
      <w:tr>
        <w:trPr/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12.</w:t>
            </w: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представитель заявителя</w:t>
            </w:r>
          </w:p>
        </w:tc>
        <w:tc>
          <w:tcPr>
            <w:tcW w:w="6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р</w:t>
            </w:r>
            <w:r>
              <w:rPr>
                <w:b w:val="false"/>
                <w:color w:val="000000"/>
                <w:spacing w:val="0"/>
                <w:sz w:val="23"/>
              </w:rPr>
              <w:t>ешение об отказе в выдаче дубликата уведомления о соответствии  требованиям, либо решение об отказе в выдаче дубликата уведомления о несоответствии требованиям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</w:rPr>
            </w:pPr>
            <w:r>
              <w:rPr>
                <w:b w:val="false"/>
              </w:rPr>
              <w:t>М</w:t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tbl>
      <w:tblPr>
        <w:tblW w:w="9357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595"/>
        <w:gridCol w:w="3182"/>
        <w:gridCol w:w="2500"/>
        <w:gridCol w:w="2661"/>
      </w:tblGrid>
      <w:tr>
        <w:trPr/>
        <w:tc>
          <w:tcPr>
            <w:tcW w:w="4196" w:type="dxa"/>
            <w:gridSpan w:val="3"/>
            <w:tcBorders/>
          </w:tcPr>
          <w:p>
            <w:pPr>
              <w:pStyle w:val="Normal"/>
              <w:pageBreakBefore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</w:rPr>
            </w:pPr>
            <w:r>
              <w:rPr>
                <w:b w:val="false"/>
              </w:rPr>
            </w:r>
          </w:p>
        </w:tc>
        <w:tc>
          <w:tcPr>
            <w:tcW w:w="5161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5812" w:leader="none"/>
              </w:tabs>
              <w:spacing w:lineRule="auto" w:line="240" w:before="0" w:after="0"/>
              <w:ind w:left="0" w:right="0" w:firstLine="709"/>
              <w:jc w:val="right"/>
              <w:rPr>
                <w:rFonts w:ascii="Times New Roman" w:hAnsi="Times New Roman"/>
                <w:b w:val="false"/>
                <w:sz w:val="24"/>
              </w:rPr>
            </w:pPr>
            <w:r>
              <w:rPr>
                <w:rFonts w:ascii="Times New Roman" w:hAnsi="Times New Roman"/>
                <w:b w:val="false"/>
                <w:sz w:val="24"/>
              </w:rPr>
              <w:t xml:space="preserve">Приложение № </w:t>
            </w:r>
            <w:r>
              <w:rPr>
                <w:rFonts w:ascii="Times New Roman" w:hAnsi="Times New Roman"/>
                <w:b w:val="false"/>
                <w:sz w:val="24"/>
              </w:rPr>
              <w:t>3</w:t>
            </w:r>
          </w:p>
          <w:p>
            <w:pPr>
              <w:pStyle w:val="Normal"/>
              <w:widowControl/>
              <w:tabs>
                <w:tab w:val="clear" w:pos="708"/>
                <w:tab w:val="left" w:pos="5812" w:leader="none"/>
              </w:tabs>
              <w:spacing w:lineRule="auto" w:line="240" w:before="0" w:after="0"/>
              <w:ind w:left="0" w:right="0" w:firstLine="709"/>
              <w:jc w:val="right"/>
              <w:rPr>
                <w:rFonts w:ascii="Times New Roman" w:hAnsi="Times New Roman"/>
                <w:b w:val="false"/>
              </w:rPr>
            </w:pPr>
            <w:r>
              <w:rPr>
                <w:rFonts w:ascii="Times New Roman" w:hAnsi="Times New Roman"/>
                <w:b w:val="false"/>
              </w:rPr>
              <w:t>к административному регламенту</w:t>
            </w:r>
          </w:p>
          <w:p>
            <w:pPr>
              <w:pStyle w:val="Normal"/>
              <w:jc w:val="right"/>
              <w:rPr/>
            </w:pPr>
            <w:r>
              <w:rPr>
                <w:rFonts w:ascii="Times New Roman" w:hAnsi="Times New Roman"/>
                <w:b w:val="false"/>
                <w:sz w:val="24"/>
              </w:rPr>
              <w:t xml:space="preserve">предоставления муниципальной услуги </w:t>
            </w:r>
            <w:r>
              <w:rPr>
                <w:rFonts w:ascii="Times New Roman" w:hAnsi="Times New Roman"/>
                <w:b w:val="false"/>
              </w:rPr>
              <w:t xml:space="preserve">«Направление уведомления о соответствии </w:t>
            </w:r>
          </w:p>
          <w:p>
            <w:pPr>
              <w:pStyle w:val="Normal"/>
              <w:jc w:val="right"/>
              <w:rPr>
                <w:rFonts w:ascii="Times New Roman" w:hAnsi="Times New Roman"/>
                <w:b w:val="false"/>
              </w:rPr>
            </w:pPr>
            <w:r>
              <w:rPr>
                <w:rFonts w:ascii="Times New Roman" w:hAnsi="Times New Roman"/>
                <w:b w:val="false"/>
              </w:rPr>
              <w:t xml:space="preserve">построенных или реконструированных объектов индивидуального жилищного </w:t>
            </w:r>
          </w:p>
          <w:p>
            <w:pPr>
              <w:pStyle w:val="Normal"/>
              <w:jc w:val="right"/>
              <w:rPr>
                <w:rFonts w:ascii="Times New Roman" w:hAnsi="Times New Roman"/>
                <w:b w:val="false"/>
              </w:rPr>
            </w:pPr>
            <w:r>
              <w:rPr>
                <w:rFonts w:ascii="Times New Roman" w:hAnsi="Times New Roman"/>
                <w:b w:val="false"/>
              </w:rPr>
              <w:t xml:space="preserve">строительства или садового дома </w:t>
            </w:r>
          </w:p>
          <w:p>
            <w:pPr>
              <w:pStyle w:val="Normal"/>
              <w:jc w:val="right"/>
              <w:rPr>
                <w:rFonts w:ascii="Times New Roman" w:hAnsi="Times New Roman"/>
                <w:b w:val="false"/>
              </w:rPr>
            </w:pPr>
            <w:r>
              <w:rPr>
                <w:rFonts w:ascii="Times New Roman" w:hAnsi="Times New Roman"/>
                <w:b w:val="false"/>
              </w:rPr>
              <w:t xml:space="preserve">требованиям законодательства </w:t>
            </w:r>
          </w:p>
          <w:p>
            <w:pPr>
              <w:pStyle w:val="Normal"/>
              <w:jc w:val="right"/>
              <w:rPr>
                <w:rFonts w:ascii="Times New Roman" w:hAnsi="Times New Roman"/>
                <w:b w:val="false"/>
              </w:rPr>
            </w:pPr>
            <w:r>
              <w:rPr>
                <w:rFonts w:ascii="Times New Roman" w:hAnsi="Times New Roman"/>
                <w:b w:val="false"/>
              </w:rPr>
              <w:t xml:space="preserve">Российской Федерации о </w:t>
            </w:r>
          </w:p>
          <w:p>
            <w:pPr>
              <w:pStyle w:val="Normal"/>
              <w:jc w:val="right"/>
              <w:rPr>
                <w:rFonts w:ascii="Times New Roman" w:hAnsi="Times New Roman"/>
                <w:b w:val="false"/>
                <w:sz w:val="24"/>
              </w:rPr>
            </w:pPr>
            <w:r>
              <w:rPr>
                <w:rFonts w:ascii="Times New Roman" w:hAnsi="Times New Roman"/>
                <w:b w:val="false"/>
                <w:sz w:val="24"/>
              </w:rPr>
              <w:t>градостроительной деятельности»</w:t>
            </w:r>
          </w:p>
        </w:tc>
      </w:tr>
      <w:tr>
        <w:trPr/>
        <w:tc>
          <w:tcPr>
            <w:tcW w:w="9357" w:type="dxa"/>
            <w:gridSpan w:val="5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9357" w:type="dxa"/>
            <w:gridSpan w:val="5"/>
            <w:tcBorders/>
          </w:tcPr>
          <w:p>
            <w:pPr>
              <w:pStyle w:val="2111111111"/>
              <w:widowControl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Исчерпывающий перечень документов, необходимых для предоставления муниципальной услуги</w:t>
            </w:r>
          </w:p>
        </w:tc>
      </w:tr>
      <w:tr>
        <w:trPr/>
        <w:tc>
          <w:tcPr>
            <w:tcW w:w="9357" w:type="dxa"/>
            <w:gridSpan w:val="5"/>
            <w:tcBorders/>
          </w:tcPr>
          <w:p>
            <w:pPr>
              <w:pStyle w:val="2111111111"/>
              <w:rPr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left"/>
              <w:rPr>
                <w:b w:val="false"/>
              </w:rPr>
            </w:pPr>
            <w:r>
              <w:rPr>
                <w:b w:val="false"/>
              </w:rPr>
              <w:t>№</w:t>
            </w:r>
          </w:p>
        </w:tc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left"/>
              <w:rPr>
                <w:b w:val="false"/>
              </w:rPr>
            </w:pPr>
            <w:r>
              <w:rPr>
                <w:b w:val="false"/>
              </w:rPr>
              <w:t>идентификатор заявителей</w:t>
            </w:r>
          </w:p>
        </w:tc>
        <w:tc>
          <w:tcPr>
            <w:tcW w:w="3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left"/>
              <w:rPr>
                <w:b w:val="false"/>
              </w:rPr>
            </w:pPr>
            <w:r>
              <w:rPr>
                <w:b w:val="false"/>
              </w:rPr>
              <w:t>перечень документов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left"/>
              <w:rPr>
                <w:b w:val="false"/>
              </w:rPr>
            </w:pPr>
            <w:r>
              <w:rPr>
                <w:b w:val="false"/>
              </w:rPr>
              <w:t>способ подачи документов</w:t>
            </w:r>
          </w:p>
          <w:p>
            <w:pPr>
              <w:pStyle w:val="2111111111"/>
              <w:widowControl/>
              <w:jc w:val="left"/>
              <w:rPr>
                <w:b w:val="false"/>
              </w:rPr>
            </w:pPr>
            <w:r>
              <w:rPr>
                <w:b w:val="false"/>
              </w:rPr>
            </w:r>
          </w:p>
        </w:tc>
        <w:tc>
          <w:tcPr>
            <w:tcW w:w="2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left"/>
              <w:rPr>
                <w:b w:val="false"/>
              </w:rPr>
            </w:pPr>
            <w:r>
              <w:rPr>
                <w:b w:val="false"/>
              </w:rPr>
              <w:t>требования к предоставлению документов</w:t>
            </w:r>
          </w:p>
          <w:p>
            <w:pPr>
              <w:pStyle w:val="2111111111"/>
              <w:widowControl/>
              <w:jc w:val="left"/>
              <w:rPr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  <w:t>1.</w:t>
            </w:r>
          </w:p>
        </w:tc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left"/>
              <w:rPr>
                <w:b w:val="false"/>
                <w:u w:val="none"/>
              </w:rPr>
            </w:pPr>
            <w:r>
              <w:rPr>
                <w:b w:val="false"/>
                <w:u w:val="none"/>
              </w:rPr>
              <w:t>А-М</w:t>
            </w:r>
          </w:p>
        </w:tc>
        <w:tc>
          <w:tcPr>
            <w:tcW w:w="3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rPr>
                <w:b w:val="false"/>
              </w:rPr>
            </w:pPr>
            <w:r>
              <w:rPr>
                <w:b w:val="false"/>
              </w:rPr>
              <w:t>уведомление об окончании строительства. В случае представления уведомления об окончании строительства в электронной форме посредством ЕПГУ, РПГУ, указанное уведомление заполняется путем внесения соответствующих сведений в интерактивную форму на ЕПГУ, РПГУ, и путем представления схематичного изображения построенного или реконструированного объекта капитального строительства на земельном участке. Подготовка уведомления об окончании строительства может осуществляться с использованием пространственных данных и сведений, содержащихся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электронных сервисов указанной информационной системы</w:t>
            </w:r>
          </w:p>
        </w:tc>
        <w:tc>
          <w:tcPr>
            <w:tcW w:w="2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left"/>
              <w:rPr/>
            </w:pPr>
            <w:r>
              <w:rPr>
                <w:b w:val="false"/>
              </w:rPr>
              <w:t>а) в электронной форме посредством Е</w:t>
            </w:r>
            <w:r>
              <w:rPr>
                <w:b w:val="false"/>
              </w:rPr>
              <w:t>ПГУ, РПГУ</w:t>
            </w:r>
            <w:r>
              <w:rPr>
                <w:b w:val="false"/>
              </w:rPr>
              <w:t>.</w:t>
            </w:r>
          </w:p>
          <w:p>
            <w:pPr>
              <w:pStyle w:val="2111111111"/>
              <w:widowControl/>
              <w:jc w:val="left"/>
              <w:rPr>
                <w:b w:val="false"/>
              </w:rPr>
            </w:pPr>
            <w:r>
              <w:rPr>
                <w:b w:val="false"/>
              </w:rPr>
              <w:t>б) на бумажном носителе посредством личного обращения в Уполномоченный орган, в том числе через МФЦ, либо посредством почтового отправления с уведомлением о вручении</w:t>
            </w:r>
          </w:p>
        </w:tc>
        <w:tc>
          <w:tcPr>
            <w:tcW w:w="26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left"/>
              <w:rPr>
                <w:b w:val="false"/>
              </w:rPr>
            </w:pPr>
            <w:r>
              <w:rPr>
                <w:b w:val="false"/>
              </w:rPr>
              <w:t>в электронной форме или в форме электронных документов, заверенных усиленной квалифицированной подписью лиц, уполномоченных на создание и подписание таких документов</w:t>
            </w:r>
          </w:p>
        </w:tc>
      </w:tr>
      <w:tr>
        <w:trPr>
          <w:trHeight w:val="1600" w:hRule="atLeast"/>
        </w:trPr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  <w:t>2</w:t>
            </w:r>
            <w:r>
              <w:rPr>
                <w:b w:val="false"/>
                <w:sz w:val="24"/>
              </w:rPr>
              <w:t>.</w:t>
            </w:r>
          </w:p>
        </w:tc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left"/>
              <w:rPr>
                <w:b w:val="false"/>
                <w:u w:val="none"/>
              </w:rPr>
            </w:pPr>
            <w:r>
              <w:rPr>
                <w:b w:val="false"/>
                <w:u w:val="none"/>
              </w:rPr>
              <w:t>Ж-М</w:t>
            </w:r>
          </w:p>
        </w:tc>
        <w:tc>
          <w:tcPr>
            <w:tcW w:w="3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rPr>
                <w:b w:val="false"/>
              </w:rPr>
            </w:pPr>
            <w:r>
              <w:rPr>
                <w:b w:val="false"/>
              </w:rPr>
              <w:t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ЕПГУ, РПГУ,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 - усиленной квалифицированной электронной подписью нотариуса</w:t>
            </w:r>
          </w:p>
        </w:tc>
        <w:tc>
          <w:tcPr>
            <w:tcW w:w="250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661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232" w:hRule="atLeast"/>
        </w:trPr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  <w:t>3</w:t>
            </w:r>
            <w:r>
              <w:rPr>
                <w:b w:val="false"/>
                <w:sz w:val="24"/>
              </w:rPr>
              <w:t>.</w:t>
            </w:r>
          </w:p>
        </w:tc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left"/>
              <w:rPr>
                <w:b w:val="false"/>
                <w:u w:val="none"/>
              </w:rPr>
            </w:pPr>
            <w:r>
              <w:rPr>
                <w:b w:val="false"/>
                <w:u w:val="none"/>
              </w:rPr>
              <w:t>А-М</w:t>
            </w:r>
          </w:p>
        </w:tc>
        <w:tc>
          <w:tcPr>
            <w:tcW w:w="3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rPr>
                <w:b w:val="false"/>
              </w:rPr>
            </w:pPr>
            <w:r>
              <w:rPr>
                <w:b w:val="false"/>
              </w:rPr>
              <w:t xml:space="preserve"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</w:t>
            </w:r>
            <w:r>
              <w:rPr>
                <w:b w:val="false"/>
              </w:rPr>
              <w:t>Заявителем</w:t>
            </w:r>
            <w:r>
              <w:rPr>
                <w:b w:val="false"/>
              </w:rPr>
              <w:t xml:space="preserve"> является иностранное юридическое лицо</w:t>
            </w:r>
          </w:p>
        </w:tc>
        <w:tc>
          <w:tcPr>
            <w:tcW w:w="250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661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  <w:t>4</w:t>
            </w:r>
            <w:r>
              <w:rPr>
                <w:b w:val="false"/>
                <w:sz w:val="24"/>
              </w:rPr>
              <w:t>.</w:t>
            </w:r>
          </w:p>
        </w:tc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left"/>
              <w:rPr>
                <w:b w:val="false"/>
                <w:u w:val="none"/>
              </w:rPr>
            </w:pPr>
            <w:r>
              <w:rPr>
                <w:b w:val="false"/>
                <w:u w:val="none"/>
              </w:rPr>
              <w:t>А-М</w:t>
            </w:r>
          </w:p>
        </w:tc>
        <w:tc>
          <w:tcPr>
            <w:tcW w:w="3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rPr>
                <w:b w:val="false"/>
              </w:rPr>
            </w:pPr>
            <w:r>
              <w:rPr>
                <w:b w:val="false"/>
              </w:rPr>
              <w:t>технический план объекта индивидуального жилищного строительства или садового дома</w:t>
            </w:r>
          </w:p>
        </w:tc>
        <w:tc>
          <w:tcPr>
            <w:tcW w:w="250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661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4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/>
            </w:pPr>
            <w:r>
              <w:rPr/>
              <w:t>5</w:t>
            </w:r>
            <w:r>
              <w:rPr/>
              <w:t>.</w:t>
            </w:r>
          </w:p>
        </w:tc>
        <w:tc>
          <w:tcPr>
            <w:tcW w:w="5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left"/>
              <w:rPr/>
            </w:pPr>
            <w:r>
              <w:rPr/>
              <w:t>А-М</w:t>
            </w:r>
          </w:p>
        </w:tc>
        <w:tc>
          <w:tcPr>
            <w:tcW w:w="318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rPr>
                <w:b w:val="false"/>
              </w:rPr>
            </w:pPr>
            <w:r>
              <w:rPr>
                <w:b w:val="false"/>
              </w:rPr>
              <w:t>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случае, если земельный участок, на котором построен или реконструирован объект индивидуального жилищного строительства или садовый дом, принадлежит двум и более гражданам на праве общей долевой собственности или на праве аренды со множественностью лиц на стороне арендатора</w:t>
            </w:r>
          </w:p>
        </w:tc>
        <w:tc>
          <w:tcPr>
            <w:tcW w:w="25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66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93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rPr>
                <w:b w:val="false"/>
              </w:rPr>
            </w:pPr>
            <w:r>
              <w:rPr>
                <w:b w:val="false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>
        <w:trPr/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rPr>
                <w:b w:val="false"/>
              </w:rPr>
            </w:pPr>
            <w:r>
              <w:rPr>
                <w:b w:val="false"/>
              </w:rPr>
              <w:t>1.</w:t>
            </w:r>
          </w:p>
        </w:tc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rPr>
                <w:b w:val="false"/>
              </w:rPr>
            </w:pPr>
            <w:r>
              <w:rPr>
                <w:b w:val="false"/>
                <w:color w:val="000000"/>
                <w:sz w:val="28"/>
                <w:u w:val="none"/>
              </w:rPr>
              <w:t>А-М</w:t>
            </w:r>
          </w:p>
        </w:tc>
        <w:tc>
          <w:tcPr>
            <w:tcW w:w="3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rPr>
                <w:b w:val="false"/>
              </w:rPr>
            </w:pPr>
            <w:r>
              <w:rPr>
                <w:b w:val="false"/>
              </w:rPr>
              <w:t>сведения из Единого государственного реестра недвижимости об основных характеристиках и зарегистрированных правах на земельный участок</w:t>
            </w:r>
          </w:p>
        </w:tc>
        <w:tc>
          <w:tcPr>
            <w:tcW w:w="2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left"/>
              <w:rPr/>
            </w:pPr>
            <w:r>
              <w:rPr>
                <w:b w:val="false"/>
              </w:rPr>
              <w:t>а) в электронной форме посредством Е</w:t>
            </w:r>
            <w:r>
              <w:rPr>
                <w:b w:val="false"/>
              </w:rPr>
              <w:t>ПГУ, РПГУ</w:t>
            </w:r>
            <w:r>
              <w:rPr>
                <w:b w:val="false"/>
              </w:rPr>
              <w:t>.</w:t>
            </w:r>
          </w:p>
          <w:p>
            <w:pPr>
              <w:pStyle w:val="2111111111"/>
              <w:widowControl/>
              <w:jc w:val="left"/>
              <w:rPr>
                <w:b w:val="false"/>
              </w:rPr>
            </w:pPr>
            <w:r>
              <w:rPr>
                <w:b w:val="false"/>
              </w:rPr>
              <w:t>б) на бумажном носителе посредством личного обращения в Уполномоченный орган, в том числе через МФЦ, либо посредством почтового отправления с уведомлением о вручении</w:t>
            </w:r>
          </w:p>
          <w:p>
            <w:pPr>
              <w:pStyle w:val="2111111111"/>
              <w:widowControl/>
              <w:jc w:val="left"/>
              <w:rPr>
                <w:b w:val="false"/>
              </w:rPr>
            </w:pPr>
            <w:r>
              <w:rPr>
                <w:b w:val="false"/>
              </w:rPr>
            </w:r>
          </w:p>
        </w:tc>
        <w:tc>
          <w:tcPr>
            <w:tcW w:w="26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left"/>
              <w:rPr>
                <w:b w:val="false"/>
              </w:rPr>
            </w:pPr>
            <w:r>
              <w:rPr>
                <w:b w:val="false"/>
              </w:rPr>
            </w:r>
          </w:p>
          <w:p>
            <w:pPr>
              <w:pStyle w:val="2111111111"/>
              <w:widowControl/>
              <w:jc w:val="left"/>
              <w:rPr>
                <w:b w:val="false"/>
              </w:rPr>
            </w:pPr>
            <w:r>
              <w:rPr>
                <w:b w:val="false"/>
              </w:rPr>
              <w:t>в электронной форме или в форме электронных документов, заверенных усиленной квалифицированной подписью лиц, уполномоченных на создание и подписание таких документов</w:t>
            </w:r>
          </w:p>
        </w:tc>
      </w:tr>
      <w:tr>
        <w:trPr/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rPr>
                <w:b w:val="false"/>
              </w:rPr>
            </w:pPr>
            <w:r>
              <w:rPr>
                <w:b w:val="false"/>
              </w:rPr>
              <w:t>2.</w:t>
            </w:r>
          </w:p>
        </w:tc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rPr>
                <w:b w:val="false"/>
                <w:color w:val="000000"/>
                <w:sz w:val="28"/>
                <w:u w:val="none"/>
              </w:rPr>
            </w:pPr>
            <w:r>
              <w:rPr>
                <w:b w:val="false"/>
                <w:color w:val="000000"/>
                <w:sz w:val="28"/>
                <w:u w:val="none"/>
              </w:rPr>
              <w:t>А-М</w:t>
            </w:r>
          </w:p>
        </w:tc>
        <w:tc>
          <w:tcPr>
            <w:tcW w:w="3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rPr>
                <w:b w:val="false"/>
              </w:rPr>
            </w:pPr>
            <w:r>
              <w:rPr>
                <w:b w:val="false"/>
              </w:rPr>
              <w:t>сведения из Единого государственного реестра юридических лиц (при обращении застройщика, являющегося юридическим лицом) или из Единого государственного реестра индивидуальных предпринимателей (при обращении застройщика, являющегося индивидуальным предпринимателем)</w:t>
            </w:r>
          </w:p>
        </w:tc>
        <w:tc>
          <w:tcPr>
            <w:tcW w:w="250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661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</w:tbl>
    <w:tbl>
      <w:tblPr>
        <w:tblW w:w="9303" w:type="dxa"/>
        <w:jc w:val="left"/>
        <w:tblInd w:w="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1"/>
        <w:gridCol w:w="25"/>
        <w:gridCol w:w="4205"/>
        <w:gridCol w:w="2948"/>
        <w:gridCol w:w="1704"/>
      </w:tblGrid>
      <w:tr>
        <w:trPr/>
        <w:tc>
          <w:tcPr>
            <w:tcW w:w="4651" w:type="dxa"/>
            <w:gridSpan w:val="3"/>
            <w:tcBorders/>
          </w:tcPr>
          <w:p>
            <w:pPr>
              <w:pStyle w:val="2111111111"/>
              <w:pageBreakBefore/>
              <w:widowControl/>
              <w:spacing w:before="0" w:after="0"/>
              <w:jc w:val="center"/>
              <w:rPr>
                <w:b/>
                <w:sz w:val="28"/>
              </w:rPr>
            </w:pPr>
            <w:r>
              <w:br w:type="page"/>
            </w:r>
            <w:r>
              <w:rPr>
                <w:b/>
                <w:sz w:val="28"/>
              </w:rPr>
            </w:r>
          </w:p>
        </w:tc>
        <w:tc>
          <w:tcPr>
            <w:tcW w:w="4652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5812" w:leader="none"/>
              </w:tabs>
              <w:spacing w:lineRule="auto" w:line="240" w:before="0" w:after="0"/>
              <w:ind w:left="0" w:right="0" w:firstLine="709"/>
              <w:jc w:val="right"/>
              <w:rPr>
                <w:rFonts w:ascii="Times New Roman" w:hAnsi="Times New Roman"/>
                <w:b w:val="false"/>
                <w:sz w:val="24"/>
              </w:rPr>
            </w:pPr>
            <w:r>
              <w:rPr>
                <w:rFonts w:ascii="Times New Roman" w:hAnsi="Times New Roman"/>
                <w:b w:val="false"/>
                <w:sz w:val="24"/>
              </w:rPr>
              <w:t xml:space="preserve">Приложение № </w:t>
            </w:r>
            <w:r>
              <w:rPr>
                <w:rFonts w:ascii="Times New Roman" w:hAnsi="Times New Roman"/>
                <w:b w:val="false"/>
                <w:sz w:val="24"/>
              </w:rPr>
              <w:t>4</w:t>
            </w:r>
          </w:p>
          <w:p>
            <w:pPr>
              <w:pStyle w:val="Normal"/>
              <w:widowControl/>
              <w:tabs>
                <w:tab w:val="clear" w:pos="708"/>
                <w:tab w:val="left" w:pos="5812" w:leader="none"/>
              </w:tabs>
              <w:spacing w:lineRule="auto" w:line="240" w:before="0" w:after="0"/>
              <w:ind w:left="0" w:right="0" w:firstLine="709"/>
              <w:jc w:val="right"/>
              <w:rPr>
                <w:rFonts w:ascii="Times New Roman" w:hAnsi="Times New Roman"/>
                <w:b w:val="false"/>
              </w:rPr>
            </w:pPr>
            <w:r>
              <w:rPr>
                <w:rFonts w:ascii="Times New Roman" w:hAnsi="Times New Roman"/>
                <w:b w:val="false"/>
              </w:rPr>
              <w:t>к административному регламенту</w:t>
            </w:r>
          </w:p>
          <w:p>
            <w:pPr>
              <w:pStyle w:val="Normal"/>
              <w:jc w:val="right"/>
              <w:rPr/>
            </w:pPr>
            <w:r>
              <w:rPr>
                <w:rFonts w:ascii="Times New Roman" w:hAnsi="Times New Roman"/>
                <w:b w:val="false"/>
                <w:sz w:val="24"/>
              </w:rPr>
              <w:t xml:space="preserve">предоставления муниципальной услуги </w:t>
            </w:r>
            <w:r>
              <w:rPr>
                <w:rFonts w:ascii="Times New Roman" w:hAnsi="Times New Roman"/>
                <w:b w:val="false"/>
              </w:rPr>
              <w:t xml:space="preserve">«Направление уведомления о соответствии </w:t>
            </w:r>
          </w:p>
          <w:p>
            <w:pPr>
              <w:pStyle w:val="Normal"/>
              <w:jc w:val="right"/>
              <w:rPr>
                <w:rFonts w:ascii="Times New Roman" w:hAnsi="Times New Roman"/>
                <w:b w:val="false"/>
              </w:rPr>
            </w:pPr>
            <w:r>
              <w:rPr>
                <w:rFonts w:ascii="Times New Roman" w:hAnsi="Times New Roman"/>
                <w:b w:val="false"/>
              </w:rPr>
              <w:t xml:space="preserve">построенных или реконструированных объектов индивидуального жилищного </w:t>
            </w:r>
          </w:p>
          <w:p>
            <w:pPr>
              <w:pStyle w:val="Normal"/>
              <w:jc w:val="right"/>
              <w:rPr>
                <w:rFonts w:ascii="Times New Roman" w:hAnsi="Times New Roman"/>
                <w:b w:val="false"/>
              </w:rPr>
            </w:pPr>
            <w:r>
              <w:rPr>
                <w:rFonts w:ascii="Times New Roman" w:hAnsi="Times New Roman"/>
                <w:b w:val="false"/>
              </w:rPr>
              <w:t xml:space="preserve">строительства или садового дома </w:t>
            </w:r>
          </w:p>
          <w:p>
            <w:pPr>
              <w:pStyle w:val="Normal"/>
              <w:jc w:val="right"/>
              <w:rPr>
                <w:rFonts w:ascii="Times New Roman" w:hAnsi="Times New Roman"/>
                <w:b w:val="false"/>
              </w:rPr>
            </w:pPr>
            <w:r>
              <w:rPr>
                <w:rFonts w:ascii="Times New Roman" w:hAnsi="Times New Roman"/>
                <w:b w:val="false"/>
              </w:rPr>
              <w:t xml:space="preserve">требованиям законодательства </w:t>
            </w:r>
          </w:p>
          <w:p>
            <w:pPr>
              <w:pStyle w:val="Normal"/>
              <w:jc w:val="right"/>
              <w:rPr>
                <w:rFonts w:ascii="Times New Roman" w:hAnsi="Times New Roman"/>
                <w:b w:val="false"/>
              </w:rPr>
            </w:pPr>
            <w:r>
              <w:rPr>
                <w:rFonts w:ascii="Times New Roman" w:hAnsi="Times New Roman"/>
                <w:b w:val="false"/>
              </w:rPr>
              <w:t xml:space="preserve">Российской Федерации о </w:t>
            </w:r>
          </w:p>
          <w:p>
            <w:pPr>
              <w:pStyle w:val="Normal"/>
              <w:jc w:val="right"/>
              <w:rPr>
                <w:rFonts w:ascii="Times New Roman" w:hAnsi="Times New Roman"/>
                <w:b w:val="false"/>
                <w:sz w:val="24"/>
              </w:rPr>
            </w:pPr>
            <w:r>
              <w:rPr>
                <w:rFonts w:ascii="Times New Roman" w:hAnsi="Times New Roman"/>
                <w:b w:val="false"/>
                <w:sz w:val="24"/>
              </w:rPr>
              <w:t>градостроительной деятельности»</w:t>
            </w:r>
          </w:p>
        </w:tc>
      </w:tr>
      <w:tr>
        <w:trPr/>
        <w:tc>
          <w:tcPr>
            <w:tcW w:w="9303" w:type="dxa"/>
            <w:gridSpan w:val="5"/>
            <w:tcBorders/>
          </w:tcPr>
          <w:p>
            <w:pPr>
              <w:pStyle w:val="2111111111"/>
              <w:widowControl/>
              <w:spacing w:before="0" w:after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 </w:t>
            </w:r>
          </w:p>
        </w:tc>
      </w:tr>
      <w:tr>
        <w:trPr/>
        <w:tc>
          <w:tcPr>
            <w:tcW w:w="930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rPr>
                <w:b w:val="false"/>
              </w:rPr>
            </w:pPr>
            <w:r>
              <w:rPr>
                <w:b w:val="false"/>
              </w:rPr>
            </w:r>
          </w:p>
        </w:tc>
      </w:tr>
      <w:tr>
        <w:trPr>
          <w:trHeight w:val="760" w:hRule="atLeast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rPr>
                <w:b w:val="false"/>
              </w:rPr>
            </w:pPr>
            <w:r>
              <w:rPr>
                <w:b w:val="false"/>
              </w:rPr>
              <w:t>№</w:t>
            </w:r>
          </w:p>
        </w:tc>
        <w:tc>
          <w:tcPr>
            <w:tcW w:w="71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</w:rPr>
            </w:pPr>
            <w:r>
              <w:rPr>
                <w:b w:val="false"/>
              </w:rPr>
              <w:t>Перечень оснований</w:t>
            </w: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rPr>
                <w:b w:val="false"/>
              </w:rPr>
            </w:pPr>
            <w:r>
              <w:rPr>
                <w:b w:val="false"/>
              </w:rPr>
              <w:t>идентификатор заявителей</w:t>
            </w:r>
          </w:p>
        </w:tc>
      </w:tr>
      <w:tr>
        <w:trPr/>
        <w:tc>
          <w:tcPr>
            <w:tcW w:w="930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>
        <w:trPr/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rPr>
                <w:b w:val="false"/>
              </w:rPr>
            </w:pPr>
            <w:r>
              <w:rPr>
                <w:b w:val="false"/>
              </w:rPr>
              <w:t>1.</w:t>
            </w:r>
          </w:p>
        </w:tc>
        <w:tc>
          <w:tcPr>
            <w:tcW w:w="71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уведомление об окончании строительства подано в Уполномоченный орган, в полномочия которого не входит предоставление данной муниципальной услуги</w:t>
            </w: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  <w:color w:val="000000"/>
                <w:sz w:val="28"/>
                <w:u w:val="none"/>
              </w:rPr>
            </w:pPr>
            <w:r>
              <w:rPr>
                <w:b w:val="false"/>
                <w:color w:val="000000"/>
                <w:sz w:val="28"/>
                <w:u w:val="none"/>
              </w:rPr>
              <w:t>А-М</w:t>
            </w:r>
          </w:p>
        </w:tc>
      </w:tr>
      <w:tr>
        <w:trPr/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rPr>
                <w:b w:val="false"/>
              </w:rPr>
            </w:pPr>
            <w:r>
              <w:rPr>
                <w:b w:val="false"/>
              </w:rPr>
              <w:t>2.</w:t>
            </w:r>
          </w:p>
        </w:tc>
        <w:tc>
          <w:tcPr>
            <w:tcW w:w="71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представленные документы утратили силу на момент обращения за получением услуги (сведения документа, удостоверяющего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  <w:color w:val="000000"/>
                <w:sz w:val="28"/>
                <w:u w:val="none"/>
              </w:rPr>
            </w:pPr>
            <w:r>
              <w:rPr>
                <w:b w:val="false"/>
                <w:color w:val="000000"/>
                <w:sz w:val="28"/>
                <w:u w:val="none"/>
              </w:rPr>
              <w:t>А-М</w:t>
            </w:r>
          </w:p>
        </w:tc>
      </w:tr>
      <w:tr>
        <w:trPr/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rPr>
                <w:b w:val="false"/>
              </w:rPr>
            </w:pPr>
            <w:r>
              <w:rPr>
                <w:b w:val="false"/>
              </w:rPr>
              <w:t>3.</w:t>
            </w:r>
          </w:p>
        </w:tc>
        <w:tc>
          <w:tcPr>
            <w:tcW w:w="71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предоставленные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  <w:color w:val="000000"/>
                <w:sz w:val="28"/>
                <w:u w:val="none"/>
              </w:rPr>
            </w:pPr>
            <w:r>
              <w:rPr>
                <w:b w:val="false"/>
                <w:color w:val="000000"/>
                <w:sz w:val="28"/>
                <w:u w:val="none"/>
              </w:rPr>
              <w:t>А-М</w:t>
            </w:r>
          </w:p>
        </w:tc>
      </w:tr>
      <w:tr>
        <w:trPr/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4.</w:t>
            </w:r>
          </w:p>
        </w:tc>
        <w:tc>
          <w:tcPr>
            <w:tcW w:w="71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      </w: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  <w:color w:val="000000"/>
                <w:sz w:val="28"/>
                <w:u w:val="none"/>
              </w:rPr>
            </w:pPr>
            <w:r>
              <w:rPr>
                <w:b w:val="false"/>
                <w:color w:val="000000"/>
                <w:sz w:val="28"/>
                <w:u w:val="none"/>
              </w:rPr>
              <w:t>А-М</w:t>
            </w:r>
          </w:p>
        </w:tc>
      </w:tr>
      <w:tr>
        <w:trPr/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5.</w:t>
            </w:r>
          </w:p>
        </w:tc>
        <w:tc>
          <w:tcPr>
            <w:tcW w:w="71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rPr>
                <w:b w:val="false"/>
              </w:rPr>
            </w:pPr>
            <w:r>
              <w:rPr>
                <w:b w:val="false"/>
              </w:rPr>
              <w:t>неполное заполнение полей в форме уведомления об окончании строительства, в том числе в интерактивной форме уведомления об окончании строительства на ЕПГУ, РПГУ</w:t>
            </w: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  <w:color w:val="000000"/>
                <w:sz w:val="28"/>
                <w:u w:val="none"/>
              </w:rPr>
            </w:pPr>
            <w:r>
              <w:rPr>
                <w:b w:val="false"/>
                <w:color w:val="000000"/>
                <w:sz w:val="28"/>
                <w:u w:val="none"/>
              </w:rPr>
              <w:t>А-М</w:t>
            </w:r>
          </w:p>
        </w:tc>
      </w:tr>
      <w:tr>
        <w:trPr/>
        <w:tc>
          <w:tcPr>
            <w:tcW w:w="421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2111111111"/>
              <w:rPr>
                <w:b w:val="false"/>
              </w:rPr>
            </w:pPr>
            <w:r>
              <w:rPr>
                <w:b w:val="false"/>
              </w:rPr>
              <w:t>6.</w:t>
            </w:r>
          </w:p>
        </w:tc>
        <w:tc>
          <w:tcPr>
            <w:tcW w:w="7178" w:type="dxa"/>
            <w:gridSpan w:val="3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rPr>
                <w:b w:val="false"/>
              </w:rPr>
            </w:pPr>
            <w:r>
              <w:rPr>
                <w:b w:val="false"/>
              </w:rPr>
              <w:t>подача уведомления об окончании строительства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  <w:color w:val="000000"/>
                <w:sz w:val="28"/>
                <w:u w:val="none"/>
              </w:rPr>
            </w:pPr>
            <w:r>
              <w:rPr>
                <w:b w:val="false"/>
                <w:color w:val="000000"/>
                <w:sz w:val="28"/>
                <w:u w:val="none"/>
              </w:rPr>
              <w:t>А-М</w:t>
            </w:r>
          </w:p>
        </w:tc>
      </w:tr>
      <w:tr>
        <w:trPr/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7.</w:t>
            </w:r>
          </w:p>
        </w:tc>
        <w:tc>
          <w:tcPr>
            <w:tcW w:w="71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несоблюдение установленных статьей 11 Федерального закона от 06.04.2011 № 63-ФЗ «Об электронной подписи» условий признания действительности усиленной квалифицированной электронной подписи</w:t>
            </w: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  <w:color w:val="000000"/>
                <w:sz w:val="28"/>
                <w:u w:val="none"/>
              </w:rPr>
            </w:pPr>
            <w:r>
              <w:rPr>
                <w:b w:val="false"/>
                <w:color w:val="000000"/>
                <w:sz w:val="28"/>
                <w:u w:val="none"/>
              </w:rPr>
              <w:t>А-М</w:t>
            </w:r>
          </w:p>
        </w:tc>
      </w:tr>
      <w:tr>
        <w:trPr/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rPr/>
            </w:pPr>
            <w:r>
              <w:rPr/>
              <w:t>8.</w:t>
            </w:r>
          </w:p>
        </w:tc>
        <w:tc>
          <w:tcPr>
            <w:tcW w:w="71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rPr>
                <w:b w:val="false"/>
              </w:rPr>
            </w:pPr>
            <w:r>
              <w:rPr>
                <w:b w:val="false"/>
              </w:rPr>
              <w:t>Заявитель не относится к кругу лиц, имеющих право на получение услуги</w:t>
            </w: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</w:rPr>
            </w:pPr>
            <w:r>
              <w:rPr>
                <w:b w:val="false"/>
              </w:rPr>
              <w:t>А-М</w:t>
            </w:r>
          </w:p>
        </w:tc>
      </w:tr>
      <w:tr>
        <w:trPr/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rPr/>
            </w:pPr>
            <w:r>
              <w:rPr/>
              <w:t>9.</w:t>
            </w:r>
          </w:p>
        </w:tc>
        <w:tc>
          <w:tcPr>
            <w:tcW w:w="71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rPr>
                <w:b w:val="false"/>
              </w:rPr>
            </w:pPr>
            <w:r>
              <w:rPr>
                <w:b w:val="false"/>
              </w:rPr>
              <w:t>Заявителем не представлены документы, определенные пунктом 2.11.1 настоящего административного регламента, обязанности по представлению которых, возложена на Заявителя</w:t>
            </w: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</w:rPr>
            </w:pPr>
            <w:r>
              <w:rPr>
                <w:b w:val="false"/>
              </w:rPr>
              <w:t>А-М</w:t>
            </w:r>
          </w:p>
        </w:tc>
      </w:tr>
      <w:tr>
        <w:trPr/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rPr/>
            </w:pPr>
            <w:r>
              <w:rPr/>
              <w:t>10.</w:t>
            </w:r>
          </w:p>
        </w:tc>
        <w:tc>
          <w:tcPr>
            <w:tcW w:w="71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rPr>
                <w:b w:val="false"/>
              </w:rPr>
            </w:pPr>
            <w:r>
              <w:rPr>
                <w:b w:val="false"/>
              </w:rPr>
              <w:t>документы (сведения), представленные Заявителем противоречат документам (сведениям), полученным в рамках межведомственного взаимодействия</w:t>
            </w: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</w:rPr>
            </w:pPr>
            <w:r>
              <w:rPr>
                <w:b w:val="false"/>
              </w:rPr>
              <w:t>А-М</w:t>
            </w:r>
          </w:p>
        </w:tc>
      </w:tr>
      <w:tr>
        <w:trPr/>
        <w:tc>
          <w:tcPr>
            <w:tcW w:w="4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rPr/>
            </w:pPr>
            <w:r>
              <w:rPr/>
              <w:t>11.</w:t>
            </w:r>
          </w:p>
        </w:tc>
        <w:tc>
          <w:tcPr>
            <w:tcW w:w="7178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rPr>
                <w:b w:val="false"/>
              </w:rPr>
            </w:pPr>
            <w:r>
              <w:rPr>
                <w:b w:val="false"/>
              </w:rPr>
              <w:t>противоречивые сведения в предоставленных Заявителем документах</w:t>
            </w:r>
          </w:p>
        </w:tc>
        <w:tc>
          <w:tcPr>
            <w:tcW w:w="17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</w:rPr>
            </w:pPr>
            <w:r>
              <w:rPr>
                <w:b w:val="false"/>
              </w:rPr>
              <w:t>А-М</w:t>
            </w:r>
          </w:p>
        </w:tc>
      </w:tr>
      <w:tr>
        <w:trPr/>
        <w:tc>
          <w:tcPr>
            <w:tcW w:w="4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rPr/>
            </w:pPr>
            <w:r>
              <w:rPr/>
              <w:t>12.</w:t>
            </w:r>
          </w:p>
        </w:tc>
        <w:tc>
          <w:tcPr>
            <w:tcW w:w="7178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rPr>
                <w:b w:val="false"/>
              </w:rPr>
            </w:pPr>
            <w:r>
              <w:rPr>
                <w:b w:val="false"/>
              </w:rPr>
              <w:t>в случае, если уведомление об окончании строительства поступило после истечения десяти лет со дня поступления уведомления о планируемом строительстве, в соответствии с которым осуществлялись строительство или реконструкция объекта индивидуального жилищного строительства или садового дома, либо уведомление о планируемом строительстве таких объекта индивидуального жилищного строительства или садового дома ранее не направлялось (в том числе было возвращено застройщику в соответствии с частью 6 статьи 51.1 Градостроительного кодекса Российской Федерации)</w:t>
            </w:r>
          </w:p>
        </w:tc>
        <w:tc>
          <w:tcPr>
            <w:tcW w:w="17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</w:rPr>
            </w:pPr>
            <w:r>
              <w:rPr>
                <w:b w:val="false"/>
              </w:rPr>
              <w:t>А-М</w:t>
            </w:r>
          </w:p>
        </w:tc>
      </w:tr>
      <w:tr>
        <w:trPr/>
        <w:tc>
          <w:tcPr>
            <w:tcW w:w="930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Перечень оснований  для приостановления  или отказа в предоставлении муниципальной услуги</w:t>
            </w:r>
          </w:p>
        </w:tc>
      </w:tr>
      <w:tr>
        <w:trPr/>
        <w:tc>
          <w:tcPr>
            <w:tcW w:w="930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/>
              <w:t>Оснований для приостановления предоставления услуги или отказа в предоставлении услуги не предусмотрено законодательством Российской Федерации</w:t>
            </w:r>
            <w:r>
              <w:rPr>
                <w:color w:val="000000"/>
                <w:sz w:val="28"/>
              </w:rPr>
              <w:t>.</w:t>
            </w:r>
          </w:p>
        </w:tc>
      </w:tr>
      <w:tr>
        <w:trPr/>
        <w:tc>
          <w:tcPr>
            <w:tcW w:w="9303" w:type="dxa"/>
            <w:gridSpan w:val="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exact" w:line="322" w:before="0" w:after="0"/>
              <w:ind w:left="142" w:right="142" w:firstLine="720"/>
              <w:jc w:val="both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b/>
                <w:color w:val="000000"/>
                <w:spacing w:val="0"/>
                <w:kern w:val="0"/>
                <w:sz w:val="28"/>
                <w:szCs w:val="20"/>
              </w:rPr>
              <w:t xml:space="preserve">Перечень оснований для отказа в предоставлении муниципальной услуги </w:t>
            </w:r>
          </w:p>
        </w:tc>
      </w:tr>
      <w:tr>
        <w:trPr/>
        <w:tc>
          <w:tcPr>
            <w:tcW w:w="446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2111111111"/>
              <w:rPr/>
            </w:pPr>
            <w:r>
              <w:rPr/>
              <w:t>1.</w:t>
            </w:r>
          </w:p>
        </w:tc>
        <w:tc>
          <w:tcPr>
            <w:tcW w:w="7153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2111111111"/>
              <w:rPr>
                <w:b w:val="false"/>
              </w:rPr>
            </w:pPr>
            <w:r>
              <w:rPr>
                <w:b w:val="false"/>
              </w:rPr>
              <w:t>параметры построенных или реконструированных объекта индивидуального жилищного строительства или садового дома не соответствуют указанным в пункте 1 части 19 статьи 55 Градостроительного кодекса Российской Федерации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территории, или обязательным требованиям к параметрам объектов капитального строительства, установленным Градостроительным кодексом Российской Федерации, другими федеральными законами</w:t>
            </w:r>
          </w:p>
        </w:tc>
        <w:tc>
          <w:tcPr>
            <w:tcW w:w="17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</w:rPr>
            </w:pPr>
            <w:r>
              <w:rPr>
                <w:b w:val="false"/>
              </w:rPr>
              <w:t>А-М</w:t>
            </w:r>
          </w:p>
        </w:tc>
      </w:tr>
      <w:tr>
        <w:trPr/>
        <w:tc>
          <w:tcPr>
            <w:tcW w:w="446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2111111111"/>
              <w:rPr/>
            </w:pPr>
            <w:r>
              <w:rPr/>
              <w:t>2.</w:t>
            </w:r>
          </w:p>
        </w:tc>
        <w:tc>
          <w:tcPr>
            <w:tcW w:w="7153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2111111111"/>
              <w:rPr>
                <w:b w:val="false"/>
              </w:rPr>
            </w:pPr>
            <w:r>
              <w:rPr>
                <w:b w:val="false"/>
              </w:rPr>
              <w:t>внешний облик объекта индивидуального жилищного строительства или садового дома не соответствует описанию внешнего облика таких объекта или дома, являющемуся приложением к уведомлению о планируемом строительстве, или типовому архитектурному решению, указанному в уведомлении о планируемом строительстве,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 по основанию, указанному в пункте 4 части 10 статьи 51.1 Градостроительного кодекса Российской Федерации,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</w:t>
            </w:r>
          </w:p>
        </w:tc>
        <w:tc>
          <w:tcPr>
            <w:tcW w:w="17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</w:rPr>
            </w:pPr>
            <w:r>
              <w:rPr>
                <w:b w:val="false"/>
              </w:rPr>
              <w:t>А-М</w:t>
            </w:r>
          </w:p>
        </w:tc>
      </w:tr>
      <w:tr>
        <w:trPr/>
        <w:tc>
          <w:tcPr>
            <w:tcW w:w="446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2111111111"/>
              <w:rPr/>
            </w:pPr>
            <w:r>
              <w:rPr/>
              <w:t>3.</w:t>
            </w:r>
          </w:p>
        </w:tc>
        <w:tc>
          <w:tcPr>
            <w:tcW w:w="7153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2111111111"/>
              <w:rPr>
                <w:b w:val="false"/>
              </w:rPr>
            </w:pPr>
            <w:r>
              <w:rPr>
                <w:b w:val="false"/>
              </w:rPr>
              <w:t>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дома, указанному в уведомлении о планируемом строительстве</w:t>
            </w:r>
          </w:p>
        </w:tc>
        <w:tc>
          <w:tcPr>
            <w:tcW w:w="17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</w:rPr>
            </w:pPr>
            <w:r>
              <w:rPr>
                <w:b w:val="false"/>
              </w:rPr>
              <w:t>А-М</w:t>
            </w:r>
          </w:p>
        </w:tc>
      </w:tr>
      <w:tr>
        <w:trPr/>
        <w:tc>
          <w:tcPr>
            <w:tcW w:w="446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2111111111"/>
              <w:rPr/>
            </w:pPr>
            <w:r>
              <w:rPr/>
              <w:t>4.</w:t>
            </w:r>
          </w:p>
        </w:tc>
        <w:tc>
          <w:tcPr>
            <w:tcW w:w="7153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2111111111"/>
              <w:rPr>
                <w:b w:val="false"/>
              </w:rPr>
            </w:pPr>
            <w:r>
              <w:rPr>
                <w:b w:val="false"/>
              </w:rPr>
              <w:t>размещение объекта индивидуального жилищного строительства или садового дома не допускается в соответствии с ограничениями, установленными в соответствии с земельным и иным законодательством Российской Федерации на дату поступления уведомления об окончании строительства,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отношении планируемого к строительству, реконструкции объекта капитального строительства, и такой объект капитального строительства не введен в эксплуатацию</w:t>
            </w:r>
          </w:p>
        </w:tc>
        <w:tc>
          <w:tcPr>
            <w:tcW w:w="17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</w:rPr>
            </w:pPr>
            <w:r>
              <w:rPr>
                <w:b w:val="false"/>
              </w:rPr>
              <w:t>А-М</w:t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tbl>
      <w:tblPr>
        <w:tblW w:w="9304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97"/>
        <w:gridCol w:w="1582"/>
        <w:gridCol w:w="531"/>
        <w:gridCol w:w="4194"/>
      </w:tblGrid>
      <w:tr>
        <w:trPr/>
        <w:tc>
          <w:tcPr>
            <w:tcW w:w="4579" w:type="dxa"/>
            <w:gridSpan w:val="2"/>
            <w:tcBorders/>
          </w:tcPr>
          <w:p>
            <w:pPr>
              <w:pStyle w:val="Normal"/>
              <w:pageBreakBefore/>
              <w:widowControl w:val="false"/>
              <w:spacing w:lineRule="auto" w:line="240" w:before="0" w:after="0"/>
              <w:ind w:left="0" w:right="0" w:hanging="0"/>
              <w:jc w:val="center"/>
              <w:rPr>
                <w:b/>
              </w:rPr>
            </w:pPr>
            <w:r>
              <w:rPr>
                <w:b/>
                <w:kern w:val="0"/>
                <w:sz w:val="22"/>
                <w:szCs w:val="20"/>
              </w:rPr>
            </w:r>
          </w:p>
        </w:tc>
        <w:tc>
          <w:tcPr>
            <w:tcW w:w="4725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5812" w:leader="none"/>
              </w:tabs>
              <w:spacing w:lineRule="auto" w:line="240" w:before="0" w:after="0"/>
              <w:ind w:left="0" w:right="0" w:firstLine="709"/>
              <w:jc w:val="right"/>
              <w:rPr>
                <w:rFonts w:ascii="Times New Roman" w:hAnsi="Times New Roman"/>
                <w:b w:val="false"/>
                <w:sz w:val="24"/>
              </w:rPr>
            </w:pPr>
            <w:r>
              <w:rPr>
                <w:rFonts w:ascii="Times New Roman" w:hAnsi="Times New Roman"/>
                <w:b w:val="false"/>
                <w:kern w:val="0"/>
                <w:sz w:val="24"/>
                <w:szCs w:val="20"/>
              </w:rPr>
              <w:t xml:space="preserve">Приложение № </w:t>
            </w:r>
            <w:r>
              <w:rPr>
                <w:rFonts w:ascii="Times New Roman" w:hAnsi="Times New Roman"/>
                <w:b w:val="false"/>
                <w:kern w:val="0"/>
                <w:sz w:val="24"/>
                <w:szCs w:val="20"/>
              </w:rPr>
              <w:t>5</w:t>
            </w:r>
          </w:p>
          <w:p>
            <w:pPr>
              <w:pStyle w:val="Normal"/>
              <w:widowControl/>
              <w:tabs>
                <w:tab w:val="clear" w:pos="708"/>
                <w:tab w:val="left" w:pos="5812" w:leader="none"/>
              </w:tabs>
              <w:spacing w:lineRule="auto" w:line="240" w:before="0" w:after="0"/>
              <w:ind w:left="0" w:right="0" w:firstLine="709"/>
              <w:jc w:val="right"/>
              <w:rPr>
                <w:rFonts w:ascii="Times New Roman" w:hAnsi="Times New Roman"/>
                <w:b w:val="false"/>
              </w:rPr>
            </w:pPr>
            <w:r>
              <w:rPr>
                <w:rFonts w:ascii="Times New Roman" w:hAnsi="Times New Roman"/>
                <w:b w:val="false"/>
                <w:kern w:val="0"/>
                <w:sz w:val="22"/>
                <w:szCs w:val="20"/>
              </w:rPr>
              <w:t>к административному регламенту</w:t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 w:val="false"/>
                <w:sz w:val="24"/>
              </w:rPr>
            </w:pPr>
            <w:r>
              <w:rPr>
                <w:rFonts w:ascii="Times New Roman" w:hAnsi="Times New Roman"/>
                <w:b w:val="false"/>
                <w:kern w:val="0"/>
                <w:sz w:val="24"/>
                <w:szCs w:val="20"/>
              </w:rPr>
              <w:t xml:space="preserve">предоставления муниципальной услуги «Направление уведомления о соответствии </w:t>
            </w:r>
          </w:p>
          <w:p>
            <w:pPr>
              <w:pStyle w:val="Normal"/>
              <w:jc w:val="right"/>
              <w:rPr>
                <w:rFonts w:ascii="Times New Roman" w:hAnsi="Times New Roman"/>
                <w:b w:val="false"/>
              </w:rPr>
            </w:pPr>
            <w:r>
              <w:rPr>
                <w:rFonts w:ascii="Times New Roman" w:hAnsi="Times New Roman"/>
                <w:b w:val="false"/>
              </w:rPr>
              <w:t xml:space="preserve">построенных или реконструированных объектов индивидуального жилищного </w:t>
            </w:r>
          </w:p>
          <w:p>
            <w:pPr>
              <w:pStyle w:val="Normal"/>
              <w:jc w:val="right"/>
              <w:rPr>
                <w:rFonts w:ascii="Times New Roman" w:hAnsi="Times New Roman"/>
                <w:b w:val="false"/>
              </w:rPr>
            </w:pPr>
            <w:r>
              <w:rPr>
                <w:rFonts w:ascii="Times New Roman" w:hAnsi="Times New Roman"/>
                <w:b w:val="false"/>
              </w:rPr>
              <w:t xml:space="preserve">строительства или садового дома </w:t>
            </w:r>
          </w:p>
          <w:p>
            <w:pPr>
              <w:pStyle w:val="Normal"/>
              <w:jc w:val="right"/>
              <w:rPr>
                <w:rFonts w:ascii="Times New Roman" w:hAnsi="Times New Roman"/>
                <w:b w:val="false"/>
              </w:rPr>
            </w:pPr>
            <w:r>
              <w:rPr>
                <w:rFonts w:ascii="Times New Roman" w:hAnsi="Times New Roman"/>
                <w:b w:val="false"/>
              </w:rPr>
              <w:t xml:space="preserve">требованиям законодательства </w:t>
            </w:r>
          </w:p>
          <w:p>
            <w:pPr>
              <w:pStyle w:val="Normal"/>
              <w:jc w:val="right"/>
              <w:rPr>
                <w:rFonts w:ascii="Times New Roman" w:hAnsi="Times New Roman"/>
                <w:b w:val="false"/>
              </w:rPr>
            </w:pPr>
            <w:r>
              <w:rPr>
                <w:rFonts w:ascii="Times New Roman" w:hAnsi="Times New Roman"/>
                <w:b w:val="false"/>
              </w:rPr>
              <w:t xml:space="preserve">Российской Федерации о </w:t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 w:val="false"/>
                <w:sz w:val="24"/>
              </w:rPr>
            </w:pPr>
            <w:r>
              <w:rPr>
                <w:rFonts w:ascii="Times New Roman" w:hAnsi="Times New Roman"/>
                <w:b w:val="false"/>
                <w:kern w:val="0"/>
                <w:sz w:val="24"/>
                <w:szCs w:val="20"/>
              </w:rPr>
              <w:t>градостроительной деятельности»</w:t>
            </w:r>
          </w:p>
        </w:tc>
      </w:tr>
      <w:tr>
        <w:trPr/>
        <w:tc>
          <w:tcPr>
            <w:tcW w:w="2997" w:type="dxa"/>
            <w:vMerge w:val="restart"/>
            <w:tcBorders/>
          </w:tcPr>
          <w:p>
            <w:pPr>
              <w:pStyle w:val="Normal"/>
              <w:jc w:val="left"/>
              <w:rPr>
                <w:kern w:val="0"/>
                <w:sz w:val="22"/>
                <w:szCs w:val="20"/>
              </w:rPr>
            </w:pPr>
            <w:r>
              <w:rPr>
                <w:kern w:val="0"/>
                <w:sz w:val="22"/>
                <w:szCs w:val="20"/>
              </w:rPr>
            </w:r>
          </w:p>
        </w:tc>
        <w:tc>
          <w:tcPr>
            <w:tcW w:w="2113" w:type="dxa"/>
            <w:gridSpan w:val="2"/>
            <w:tcBorders/>
          </w:tcPr>
          <w:p>
            <w:pPr>
              <w:pStyle w:val="Normal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0"/>
              </w:rPr>
            </w:r>
          </w:p>
        </w:tc>
        <w:tc>
          <w:tcPr>
            <w:tcW w:w="4194" w:type="dxa"/>
            <w:tcBorders>
              <w:bottom w:val="single" w:sz="4" w:space="0" w:color="000000"/>
            </w:tcBorders>
          </w:tcPr>
          <w:p>
            <w:pPr>
              <w:pStyle w:val="Normal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2997" w:type="dxa"/>
            <w:vMerge w:val="continue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13" w:type="dxa"/>
            <w:gridSpan w:val="2"/>
            <w:tcBorders/>
          </w:tcPr>
          <w:p>
            <w:pPr>
              <w:pStyle w:val="Normal"/>
              <w:jc w:val="left"/>
              <w:rPr>
                <w:kern w:val="0"/>
                <w:sz w:val="22"/>
                <w:szCs w:val="20"/>
              </w:rPr>
            </w:pPr>
            <w:r>
              <w:rPr>
                <w:kern w:val="0"/>
                <w:sz w:val="22"/>
                <w:szCs w:val="20"/>
              </w:rPr>
            </w:r>
          </w:p>
        </w:tc>
        <w:tc>
          <w:tcPr>
            <w:tcW w:w="4194" w:type="dxa"/>
            <w:tcBorders>
              <w:top w:val="single" w:sz="4" w:space="0" w:color="000000"/>
            </w:tcBorders>
          </w:tcPr>
          <w:p>
            <w:pPr>
              <w:pStyle w:val="Normal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0"/>
              </w:rPr>
              <w:t>(наименование органа местного самоуправления)</w:t>
            </w:r>
          </w:p>
        </w:tc>
      </w:tr>
      <w:tr>
        <w:trPr/>
        <w:tc>
          <w:tcPr>
            <w:tcW w:w="2997" w:type="dxa"/>
            <w:vMerge w:val="continue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13" w:type="dxa"/>
            <w:gridSpan w:val="2"/>
            <w:tcBorders/>
          </w:tcPr>
          <w:p>
            <w:pPr>
              <w:pStyle w:val="Normal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0"/>
              </w:rPr>
              <w:t>адрес:</w:t>
            </w:r>
          </w:p>
        </w:tc>
        <w:tc>
          <w:tcPr>
            <w:tcW w:w="4194" w:type="dxa"/>
            <w:tcBorders>
              <w:bottom w:val="single" w:sz="6" w:space="0" w:color="000000"/>
            </w:tcBorders>
          </w:tcPr>
          <w:p>
            <w:pPr>
              <w:pStyle w:val="Normal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2997" w:type="dxa"/>
            <w:vMerge w:val="continue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13" w:type="dxa"/>
            <w:gridSpan w:val="2"/>
            <w:tcBorders/>
          </w:tcPr>
          <w:p>
            <w:pPr>
              <w:pStyle w:val="Normal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0"/>
              </w:rPr>
              <w:t>Заявитель</w:t>
            </w:r>
          </w:p>
        </w:tc>
        <w:tc>
          <w:tcPr>
            <w:tcW w:w="4194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2997" w:type="dxa"/>
            <w:vMerge w:val="continue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13" w:type="dxa"/>
            <w:gridSpan w:val="2"/>
            <w:tcBorders/>
          </w:tcPr>
          <w:p>
            <w:pPr>
              <w:pStyle w:val="Normal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0"/>
              </w:rPr>
            </w:r>
          </w:p>
        </w:tc>
        <w:tc>
          <w:tcPr>
            <w:tcW w:w="4194" w:type="dxa"/>
            <w:tcBorders>
              <w:top w:val="single" w:sz="4" w:space="0" w:color="000000"/>
            </w:tcBorders>
          </w:tcPr>
          <w:p>
            <w:pPr>
              <w:pStyle w:val="Normal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0"/>
              </w:rPr>
              <w:t>(наименование или Ф.И.О.)</w:t>
            </w:r>
          </w:p>
        </w:tc>
      </w:tr>
      <w:tr>
        <w:trPr/>
        <w:tc>
          <w:tcPr>
            <w:tcW w:w="2997" w:type="dxa"/>
            <w:vMerge w:val="continue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13" w:type="dxa"/>
            <w:gridSpan w:val="2"/>
            <w:tcBorders/>
          </w:tcPr>
          <w:p>
            <w:pPr>
              <w:pStyle w:val="Normal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0"/>
              </w:rPr>
              <w:t>адрес или место жительства (пребывания):</w:t>
            </w:r>
          </w:p>
        </w:tc>
        <w:tc>
          <w:tcPr>
            <w:tcW w:w="4194" w:type="dxa"/>
            <w:tcBorders>
              <w:top w:val="single" w:sz="4" w:space="0" w:color="000000"/>
            </w:tcBorders>
          </w:tcPr>
          <w:p>
            <w:pPr>
              <w:pStyle w:val="Normal"/>
              <w:jc w:val="left"/>
              <w:rPr>
                <w:kern w:val="0"/>
                <w:sz w:val="22"/>
                <w:szCs w:val="20"/>
              </w:rPr>
            </w:pPr>
            <w:r>
              <w:rPr>
                <w:kern w:val="0"/>
                <w:sz w:val="22"/>
                <w:szCs w:val="20"/>
              </w:rPr>
            </w:r>
          </w:p>
        </w:tc>
      </w:tr>
      <w:tr>
        <w:trPr/>
        <w:tc>
          <w:tcPr>
            <w:tcW w:w="2997" w:type="dxa"/>
            <w:vMerge w:val="continue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13" w:type="dxa"/>
            <w:gridSpan w:val="2"/>
            <w:tcBorders/>
          </w:tcPr>
          <w:p>
            <w:pPr>
              <w:pStyle w:val="Normal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0"/>
              </w:rPr>
              <w:t xml:space="preserve">телефон: </w:t>
            </w:r>
          </w:p>
        </w:tc>
        <w:tc>
          <w:tcPr>
            <w:tcW w:w="4194" w:type="dxa"/>
            <w:tcBorders>
              <w:top w:val="single" w:sz="4" w:space="0" w:color="000000"/>
            </w:tcBorders>
          </w:tcPr>
          <w:p>
            <w:pPr>
              <w:pStyle w:val="Normal"/>
              <w:jc w:val="left"/>
              <w:rPr>
                <w:kern w:val="0"/>
                <w:sz w:val="22"/>
                <w:szCs w:val="20"/>
              </w:rPr>
            </w:pPr>
            <w:r>
              <w:rPr>
                <w:kern w:val="0"/>
                <w:sz w:val="22"/>
                <w:szCs w:val="20"/>
              </w:rPr>
            </w:r>
          </w:p>
        </w:tc>
      </w:tr>
      <w:tr>
        <w:trPr/>
        <w:tc>
          <w:tcPr>
            <w:tcW w:w="2997" w:type="dxa"/>
            <w:vMerge w:val="continue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13" w:type="dxa"/>
            <w:gridSpan w:val="2"/>
            <w:tcBorders/>
          </w:tcPr>
          <w:p>
            <w:pPr>
              <w:pStyle w:val="Normal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0"/>
              </w:rPr>
              <w:t>адрес электронной почты:</w:t>
            </w:r>
          </w:p>
        </w:tc>
        <w:tc>
          <w:tcPr>
            <w:tcW w:w="4194" w:type="dxa"/>
            <w:tcBorders>
              <w:top w:val="single" w:sz="4" w:space="0" w:color="000000"/>
              <w:bottom w:val="single" w:sz="6" w:space="0" w:color="000000"/>
            </w:tcBorders>
          </w:tcPr>
          <w:p>
            <w:pPr>
              <w:pStyle w:val="Normal"/>
              <w:jc w:val="left"/>
              <w:rPr>
                <w:kern w:val="0"/>
                <w:sz w:val="22"/>
                <w:szCs w:val="20"/>
              </w:rPr>
            </w:pPr>
            <w:r>
              <w:rPr>
                <w:kern w:val="0"/>
                <w:sz w:val="22"/>
                <w:szCs w:val="20"/>
              </w:rPr>
            </w:r>
          </w:p>
        </w:tc>
      </w:tr>
    </w:tbl>
    <w:tbl>
      <w:tblPr>
        <w:tblW w:w="9357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7"/>
        <w:gridCol w:w="25"/>
        <w:gridCol w:w="2297"/>
        <w:gridCol w:w="438"/>
        <w:gridCol w:w="242"/>
        <w:gridCol w:w="1145"/>
        <w:gridCol w:w="841"/>
        <w:gridCol w:w="127"/>
        <w:gridCol w:w="552"/>
        <w:gridCol w:w="2893"/>
      </w:tblGrid>
      <w:tr>
        <w:trPr/>
        <w:tc>
          <w:tcPr>
            <w:tcW w:w="93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0"/>
              </w:rPr>
              <w:t xml:space="preserve">Уведомление 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0"/>
              </w:rPr>
              <w:t>об окончании строительства или реконструкции объекта индивидуального жилищного строительства или садового дома</w:t>
            </w:r>
          </w:p>
        </w:tc>
      </w:tr>
      <w:tr>
        <w:trPr/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0"/>
              </w:rPr>
            </w:r>
          </w:p>
        </w:tc>
        <w:tc>
          <w:tcPr>
            <w:tcW w:w="2735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kern w:val="0"/>
                <w:sz w:val="22"/>
                <w:szCs w:val="20"/>
              </w:rPr>
            </w:pPr>
            <w:r>
              <w:rPr>
                <w:kern w:val="0"/>
                <w:sz w:val="22"/>
                <w:szCs w:val="20"/>
              </w:rPr>
            </w:r>
          </w:p>
        </w:tc>
        <w:tc>
          <w:tcPr>
            <w:tcW w:w="2355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kern w:val="0"/>
                <w:sz w:val="22"/>
                <w:szCs w:val="20"/>
              </w:rPr>
            </w:pPr>
            <w:r>
              <w:rPr>
                <w:kern w:val="0"/>
                <w:sz w:val="22"/>
                <w:szCs w:val="20"/>
              </w:rPr>
            </w:r>
          </w:p>
        </w:tc>
        <w:tc>
          <w:tcPr>
            <w:tcW w:w="3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«     »                       20       г.</w:t>
            </w:r>
          </w:p>
        </w:tc>
      </w:tr>
      <w:tr>
        <w:trPr>
          <w:trHeight w:val="410" w:hRule="atLeast"/>
        </w:trPr>
        <w:tc>
          <w:tcPr>
            <w:tcW w:w="9357" w:type="dxa"/>
            <w:gridSpan w:val="10"/>
            <w:tcBorders>
              <w:top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(наименование Уполномоченного органа на выдачу разрешений на строительство)</w:t>
            </w:r>
          </w:p>
        </w:tc>
      </w:tr>
      <w:tr>
        <w:trPr/>
        <w:tc>
          <w:tcPr>
            <w:tcW w:w="9357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40"/>
              <w:jc w:val="center"/>
              <w:rPr>
                <w:rFonts w:ascii="XO Thames" w:hAnsi="XO Thames"/>
                <w:b/>
                <w:sz w:val="24"/>
              </w:rPr>
            </w:pPr>
            <w:r>
              <w:rPr>
                <w:rFonts w:ascii="XO Thames" w:hAnsi="XO Thames"/>
                <w:b/>
                <w:kern w:val="0"/>
                <w:sz w:val="24"/>
                <w:szCs w:val="20"/>
              </w:rPr>
              <w:t>1. Сведения о застройщике</w:t>
            </w:r>
          </w:p>
        </w:tc>
      </w:tr>
      <w:tr>
        <w:trPr/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1.1</w:t>
            </w:r>
          </w:p>
        </w:tc>
        <w:tc>
          <w:tcPr>
            <w:tcW w:w="4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1.1.1</w:t>
            </w:r>
          </w:p>
        </w:tc>
        <w:tc>
          <w:tcPr>
            <w:tcW w:w="4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Фамилия, имя, отчество (при наличии)</w:t>
            </w:r>
          </w:p>
        </w:tc>
        <w:tc>
          <w:tcPr>
            <w:tcW w:w="4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1.1.2</w:t>
            </w:r>
          </w:p>
        </w:tc>
        <w:tc>
          <w:tcPr>
            <w:tcW w:w="4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Место жительства</w:t>
            </w:r>
          </w:p>
        </w:tc>
        <w:tc>
          <w:tcPr>
            <w:tcW w:w="4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1.1.3</w:t>
            </w:r>
          </w:p>
        </w:tc>
        <w:tc>
          <w:tcPr>
            <w:tcW w:w="4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Реквизиты документа, удостоверяющего личность</w:t>
            </w:r>
          </w:p>
        </w:tc>
        <w:tc>
          <w:tcPr>
            <w:tcW w:w="4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1.2</w:t>
            </w:r>
          </w:p>
        </w:tc>
        <w:tc>
          <w:tcPr>
            <w:tcW w:w="4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Сведения о юридическом лице, в случае если застройщиком является юридическое лицо:</w:t>
            </w:r>
          </w:p>
        </w:tc>
        <w:tc>
          <w:tcPr>
            <w:tcW w:w="4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1.2.1</w:t>
            </w:r>
          </w:p>
        </w:tc>
        <w:tc>
          <w:tcPr>
            <w:tcW w:w="4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Наименование</w:t>
            </w:r>
          </w:p>
        </w:tc>
        <w:tc>
          <w:tcPr>
            <w:tcW w:w="4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1.2.2</w:t>
            </w:r>
          </w:p>
        </w:tc>
        <w:tc>
          <w:tcPr>
            <w:tcW w:w="4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Место нахождения</w:t>
            </w:r>
          </w:p>
        </w:tc>
        <w:tc>
          <w:tcPr>
            <w:tcW w:w="4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1.2.3</w:t>
            </w:r>
          </w:p>
        </w:tc>
        <w:tc>
          <w:tcPr>
            <w:tcW w:w="4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4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1.2.4</w:t>
            </w:r>
          </w:p>
        </w:tc>
        <w:tc>
          <w:tcPr>
            <w:tcW w:w="4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4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93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b/>
                <w:kern w:val="0"/>
                <w:sz w:val="24"/>
                <w:szCs w:val="20"/>
              </w:rPr>
              <w:t>2. Сведения о земельном участке</w:t>
            </w:r>
          </w:p>
        </w:tc>
      </w:tr>
      <w:tr>
        <w:trPr/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2.1</w:t>
            </w:r>
          </w:p>
        </w:tc>
        <w:tc>
          <w:tcPr>
            <w:tcW w:w="4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keepNext w:val="true"/>
              <w:widowControl w:val="false"/>
              <w:ind w:left="57" w:right="57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Кадастровый номер земельного участка (при наличии)</w:t>
            </w:r>
          </w:p>
        </w:tc>
        <w:tc>
          <w:tcPr>
            <w:tcW w:w="4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keepNext w:val="true"/>
              <w:widowControl w:val="false"/>
              <w:ind w:left="57" w:right="57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2.2</w:t>
            </w:r>
          </w:p>
        </w:tc>
        <w:tc>
          <w:tcPr>
            <w:tcW w:w="4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keepNext w:val="true"/>
              <w:widowControl w:val="false"/>
              <w:ind w:left="57" w:right="57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Адрес или описание местоположения земельного участка</w:t>
            </w:r>
          </w:p>
        </w:tc>
        <w:tc>
          <w:tcPr>
            <w:tcW w:w="4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keepNext w:val="true"/>
              <w:widowControl w:val="false"/>
              <w:ind w:left="57" w:right="57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2.3</w:t>
            </w:r>
          </w:p>
        </w:tc>
        <w:tc>
          <w:tcPr>
            <w:tcW w:w="4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keepNext w:val="true"/>
              <w:widowControl w:val="false"/>
              <w:ind w:left="57" w:right="57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Сведения о праве застройщика на земельный участок (правоустанавливающие документы)</w:t>
            </w:r>
          </w:p>
        </w:tc>
        <w:tc>
          <w:tcPr>
            <w:tcW w:w="4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keepNext w:val="true"/>
              <w:widowControl w:val="false"/>
              <w:ind w:left="57" w:right="57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2.4</w:t>
            </w:r>
          </w:p>
        </w:tc>
        <w:tc>
          <w:tcPr>
            <w:tcW w:w="4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keepNext w:val="true"/>
              <w:widowControl w:val="false"/>
              <w:ind w:left="57" w:right="57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Сведения о наличии прав иных лиц на земельный участок (при наличии)</w:t>
            </w:r>
          </w:p>
        </w:tc>
        <w:tc>
          <w:tcPr>
            <w:tcW w:w="4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keepNext w:val="true"/>
              <w:widowControl w:val="false"/>
              <w:ind w:left="57" w:right="57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2.5</w:t>
            </w:r>
          </w:p>
        </w:tc>
        <w:tc>
          <w:tcPr>
            <w:tcW w:w="4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keepNext w:val="true"/>
              <w:widowControl w:val="false"/>
              <w:ind w:left="57" w:right="57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Сведения о виде разрешенного использования земельного участка</w:t>
            </w:r>
          </w:p>
        </w:tc>
        <w:tc>
          <w:tcPr>
            <w:tcW w:w="4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keepNext w:val="true"/>
              <w:widowControl w:val="false"/>
              <w:ind w:left="57" w:right="57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93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b/>
                <w:kern w:val="0"/>
                <w:sz w:val="24"/>
                <w:szCs w:val="20"/>
              </w:rPr>
              <w:t>3. Сведения об объекте капитального строительства</w:t>
            </w:r>
          </w:p>
        </w:tc>
      </w:tr>
      <w:tr>
        <w:trPr/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3.1</w:t>
            </w:r>
          </w:p>
        </w:tc>
        <w:tc>
          <w:tcPr>
            <w:tcW w:w="4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Сведения о виде разрешенного использования объекта капитального строительства (объект индивидуального жилищного строительства или садовый дом)</w:t>
            </w:r>
          </w:p>
        </w:tc>
        <w:tc>
          <w:tcPr>
            <w:tcW w:w="4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3.2</w:t>
            </w:r>
          </w:p>
        </w:tc>
        <w:tc>
          <w:tcPr>
            <w:tcW w:w="4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Цель подачи уведомления (строительство или реконструкция)</w:t>
            </w:r>
          </w:p>
        </w:tc>
        <w:tc>
          <w:tcPr>
            <w:tcW w:w="4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3.3</w:t>
            </w:r>
          </w:p>
        </w:tc>
        <w:tc>
          <w:tcPr>
            <w:tcW w:w="4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Сведения о параметрах:</w:t>
            </w:r>
          </w:p>
        </w:tc>
        <w:tc>
          <w:tcPr>
            <w:tcW w:w="4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3.3.1</w:t>
            </w:r>
          </w:p>
        </w:tc>
        <w:tc>
          <w:tcPr>
            <w:tcW w:w="4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0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Количество надземных этажей</w:t>
            </w:r>
          </w:p>
        </w:tc>
        <w:tc>
          <w:tcPr>
            <w:tcW w:w="4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3.3.2</w:t>
            </w:r>
          </w:p>
        </w:tc>
        <w:tc>
          <w:tcPr>
            <w:tcW w:w="4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Высота</w:t>
            </w:r>
          </w:p>
        </w:tc>
        <w:tc>
          <w:tcPr>
            <w:tcW w:w="4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3.3.3</w:t>
            </w:r>
          </w:p>
        </w:tc>
        <w:tc>
          <w:tcPr>
            <w:tcW w:w="4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Сведения об отступах от границ земельного участка</w:t>
            </w:r>
          </w:p>
        </w:tc>
        <w:tc>
          <w:tcPr>
            <w:tcW w:w="4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3.3.4</w:t>
            </w:r>
          </w:p>
        </w:tc>
        <w:tc>
          <w:tcPr>
            <w:tcW w:w="41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Площадь застройки</w:t>
            </w:r>
          </w:p>
        </w:tc>
        <w:tc>
          <w:tcPr>
            <w:tcW w:w="44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6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kern w:val="0"/>
                <w:sz w:val="24"/>
                <w:szCs w:val="20"/>
              </w:rPr>
            </w:r>
          </w:p>
        </w:tc>
        <w:tc>
          <w:tcPr>
            <w:tcW w:w="4147" w:type="dxa"/>
            <w:gridSpan w:val="5"/>
            <w:tcBorders>
              <w:top w:val="single" w:sz="6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0"/>
              </w:rPr>
            </w:r>
          </w:p>
        </w:tc>
        <w:tc>
          <w:tcPr>
            <w:tcW w:w="4413" w:type="dxa"/>
            <w:gridSpan w:val="4"/>
            <w:tcBorders>
              <w:top w:val="single" w:sz="6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797" w:type="dxa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kern w:val="0"/>
                <w:sz w:val="24"/>
                <w:szCs w:val="20"/>
              </w:rPr>
            </w:r>
          </w:p>
        </w:tc>
        <w:tc>
          <w:tcPr>
            <w:tcW w:w="4147" w:type="dxa"/>
            <w:gridSpan w:val="5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0"/>
              </w:rPr>
            </w:r>
          </w:p>
        </w:tc>
        <w:tc>
          <w:tcPr>
            <w:tcW w:w="4413" w:type="dxa"/>
            <w:gridSpan w:val="4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797" w:type="dxa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kern w:val="0"/>
                <w:sz w:val="24"/>
                <w:szCs w:val="20"/>
              </w:rPr>
            </w:r>
          </w:p>
        </w:tc>
        <w:tc>
          <w:tcPr>
            <w:tcW w:w="4147" w:type="dxa"/>
            <w:gridSpan w:val="5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0"/>
              </w:rPr>
            </w:r>
          </w:p>
        </w:tc>
        <w:tc>
          <w:tcPr>
            <w:tcW w:w="4413" w:type="dxa"/>
            <w:gridSpan w:val="4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797" w:type="dxa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kern w:val="0"/>
                <w:sz w:val="24"/>
                <w:szCs w:val="20"/>
              </w:rPr>
            </w:r>
          </w:p>
        </w:tc>
        <w:tc>
          <w:tcPr>
            <w:tcW w:w="4147" w:type="dxa"/>
            <w:gridSpan w:val="5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0"/>
              </w:rPr>
            </w:r>
          </w:p>
        </w:tc>
        <w:tc>
          <w:tcPr>
            <w:tcW w:w="4413" w:type="dxa"/>
            <w:gridSpan w:val="4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797" w:type="dxa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kern w:val="0"/>
                <w:sz w:val="24"/>
                <w:szCs w:val="20"/>
              </w:rPr>
            </w:r>
          </w:p>
        </w:tc>
        <w:tc>
          <w:tcPr>
            <w:tcW w:w="4147" w:type="dxa"/>
            <w:gridSpan w:val="5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0"/>
              </w:rPr>
            </w:r>
          </w:p>
        </w:tc>
        <w:tc>
          <w:tcPr>
            <w:tcW w:w="4413" w:type="dxa"/>
            <w:gridSpan w:val="4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797" w:type="dxa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kern w:val="0"/>
                <w:sz w:val="24"/>
                <w:szCs w:val="20"/>
              </w:rPr>
            </w:r>
          </w:p>
        </w:tc>
        <w:tc>
          <w:tcPr>
            <w:tcW w:w="4147" w:type="dxa"/>
            <w:gridSpan w:val="5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0"/>
              </w:rPr>
            </w:r>
          </w:p>
        </w:tc>
        <w:tc>
          <w:tcPr>
            <w:tcW w:w="4413" w:type="dxa"/>
            <w:gridSpan w:val="4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797" w:type="dxa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kern w:val="0"/>
                <w:sz w:val="24"/>
                <w:szCs w:val="20"/>
              </w:rPr>
            </w:r>
          </w:p>
        </w:tc>
        <w:tc>
          <w:tcPr>
            <w:tcW w:w="4147" w:type="dxa"/>
            <w:gridSpan w:val="5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0"/>
              </w:rPr>
            </w:r>
          </w:p>
        </w:tc>
        <w:tc>
          <w:tcPr>
            <w:tcW w:w="4413" w:type="dxa"/>
            <w:gridSpan w:val="4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0"/>
              </w:rPr>
            </w:r>
          </w:p>
        </w:tc>
      </w:tr>
      <w:tr>
        <w:trPr>
          <w:trHeight w:val="4888" w:hRule="atLeast"/>
        </w:trPr>
        <w:tc>
          <w:tcPr>
            <w:tcW w:w="797" w:type="dxa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kern w:val="0"/>
                <w:sz w:val="24"/>
                <w:szCs w:val="20"/>
              </w:rPr>
            </w:r>
          </w:p>
        </w:tc>
        <w:tc>
          <w:tcPr>
            <w:tcW w:w="4147" w:type="dxa"/>
            <w:gridSpan w:val="5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0"/>
              </w:rPr>
            </w:r>
          </w:p>
        </w:tc>
        <w:tc>
          <w:tcPr>
            <w:tcW w:w="4413" w:type="dxa"/>
            <w:gridSpan w:val="4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93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/>
                <w:kern w:val="0"/>
                <w:sz w:val="24"/>
                <w:szCs w:val="20"/>
              </w:rPr>
              <w:t>4. Схематичное изображение построенного или реконструированного объекта капитального строительства на земельном участке</w:t>
            </w:r>
          </w:p>
        </w:tc>
      </w:tr>
      <w:tr>
        <w:trPr>
          <w:trHeight w:val="12899" w:hRule="atLeast"/>
        </w:trPr>
        <w:tc>
          <w:tcPr>
            <w:tcW w:w="93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</w:r>
          </w:p>
        </w:tc>
      </w:tr>
      <w:tr>
        <w:trPr>
          <w:trHeight w:val="1947" w:hRule="atLeast"/>
        </w:trPr>
        <w:tc>
          <w:tcPr>
            <w:tcW w:w="9357" w:type="dxa"/>
            <w:gridSpan w:val="10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widowControl w:val="false"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  <w:kern w:val="0"/>
                <w:sz w:val="22"/>
                <w:szCs w:val="20"/>
              </w:rPr>
              <w:t xml:space="preserve">5. Сведения о договоре строительного подряда с использованием счета эскроу </w:t>
              <w:br/>
              <w:t xml:space="preserve">(в случае строительства объекта индивидуального жилищного строительства </w:t>
              <w:br/>
              <w:t xml:space="preserve">в соответствии с Федеральным законом от 22 июля 2024 г. № 186-ФЗ </w:t>
              <w:br/>
              <w:t xml:space="preserve">«О строительстве жилых домов по договорам строительного подряда </w:t>
              <w:br/>
              <w:t>с использованием счетов эскроу»)</w:t>
            </w:r>
          </w:p>
        </w:tc>
      </w:tr>
      <w:tr>
        <w:trPr/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5.1</w:t>
            </w:r>
          </w:p>
        </w:tc>
        <w:tc>
          <w:tcPr>
            <w:tcW w:w="41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Номер</w:t>
            </w:r>
          </w:p>
        </w:tc>
        <w:tc>
          <w:tcPr>
            <w:tcW w:w="44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5.2</w:t>
            </w:r>
          </w:p>
        </w:tc>
        <w:tc>
          <w:tcPr>
            <w:tcW w:w="41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Дата заключения</w:t>
            </w:r>
          </w:p>
        </w:tc>
        <w:tc>
          <w:tcPr>
            <w:tcW w:w="44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5.3</w:t>
            </w:r>
          </w:p>
        </w:tc>
        <w:tc>
          <w:tcPr>
            <w:tcW w:w="41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Место заключения</w:t>
            </w:r>
          </w:p>
        </w:tc>
        <w:tc>
          <w:tcPr>
            <w:tcW w:w="44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5.4</w:t>
            </w:r>
          </w:p>
        </w:tc>
        <w:tc>
          <w:tcPr>
            <w:tcW w:w="41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Дата внесения сведений о договоре строительного подряда в единую информационную систему жилищного строительства</w:t>
            </w:r>
          </w:p>
        </w:tc>
        <w:tc>
          <w:tcPr>
            <w:tcW w:w="44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</w:r>
          </w:p>
        </w:tc>
      </w:tr>
      <w:tr>
        <w:trPr/>
        <w:tc>
          <w:tcPr>
            <w:tcW w:w="9357" w:type="dxa"/>
            <w:gridSpan w:val="10"/>
            <w:tcBorders>
              <w:top w:val="single" w:sz="6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widowControl w:val="false"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  <w:kern w:val="0"/>
                <w:sz w:val="22"/>
                <w:szCs w:val="20"/>
              </w:rPr>
              <w:t xml:space="preserve">6. Сведения о подрядчике, выполняющем работы по строительству объекта </w:t>
              <w:br/>
              <w:t xml:space="preserve">индивидуального жилищного строительства на основании договора строительного </w:t>
              <w:br/>
              <w:t xml:space="preserve">подряда с использованием счета эскроу (в случае строительства объекта </w:t>
              <w:br/>
              <w:t xml:space="preserve">индивидуального жилищного строительства в соответствии с Федеральным </w:t>
              <w:br/>
              <w:t>законом от 22 июля 2024 г. № 186-ФЗ «О строительстве жилых домов по договорам строительного подряда с использованием счетов эскроу»)</w:t>
            </w:r>
          </w:p>
        </w:tc>
      </w:tr>
      <w:tr>
        <w:trPr/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6.1</w:t>
            </w:r>
          </w:p>
        </w:tc>
        <w:tc>
          <w:tcPr>
            <w:tcW w:w="41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 xml:space="preserve">Сведения о юридическом лице, </w:t>
              <w:br/>
              <w:t>в случае если подрядчиком является юридическое лицо:</w:t>
            </w:r>
          </w:p>
        </w:tc>
        <w:tc>
          <w:tcPr>
            <w:tcW w:w="44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6.1.1</w:t>
            </w:r>
          </w:p>
        </w:tc>
        <w:tc>
          <w:tcPr>
            <w:tcW w:w="41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Наименование</w:t>
            </w:r>
          </w:p>
        </w:tc>
        <w:tc>
          <w:tcPr>
            <w:tcW w:w="44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6.1.2</w:t>
            </w:r>
          </w:p>
        </w:tc>
        <w:tc>
          <w:tcPr>
            <w:tcW w:w="41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Место нахождения</w:t>
            </w:r>
          </w:p>
        </w:tc>
        <w:tc>
          <w:tcPr>
            <w:tcW w:w="44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6.1.3</w:t>
            </w:r>
          </w:p>
        </w:tc>
        <w:tc>
          <w:tcPr>
            <w:tcW w:w="41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 xml:space="preserve">Государственный регистрационный номер записи </w:t>
              <w:br/>
              <w:t>о государственной регистрации юридического лица в едином государственном реестре юридических лиц</w:t>
            </w:r>
          </w:p>
        </w:tc>
        <w:tc>
          <w:tcPr>
            <w:tcW w:w="44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6.1.4</w:t>
            </w:r>
          </w:p>
        </w:tc>
        <w:tc>
          <w:tcPr>
            <w:tcW w:w="41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Идентификационный номер налогоплательщика</w:t>
            </w:r>
          </w:p>
        </w:tc>
        <w:tc>
          <w:tcPr>
            <w:tcW w:w="44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6.1.5</w:t>
            </w:r>
          </w:p>
        </w:tc>
        <w:tc>
          <w:tcPr>
            <w:tcW w:w="41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Уникальный код идентификации (идентификатор), присвоенный в единой информационной системе жилищного строительства</w:t>
            </w:r>
          </w:p>
        </w:tc>
        <w:tc>
          <w:tcPr>
            <w:tcW w:w="44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6.2</w:t>
            </w:r>
          </w:p>
        </w:tc>
        <w:tc>
          <w:tcPr>
            <w:tcW w:w="41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Сведения об индивидуальном предпринимателе, в случае если подрядчиком является индивидуальный предприниматель:</w:t>
            </w:r>
          </w:p>
        </w:tc>
        <w:tc>
          <w:tcPr>
            <w:tcW w:w="44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6.2.1</w:t>
            </w:r>
          </w:p>
        </w:tc>
        <w:tc>
          <w:tcPr>
            <w:tcW w:w="41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 xml:space="preserve">Фамилия, имя и отчество </w:t>
              <w:br/>
              <w:t>(при наличии)</w:t>
            </w:r>
          </w:p>
        </w:tc>
        <w:tc>
          <w:tcPr>
            <w:tcW w:w="44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6.2.2</w:t>
            </w:r>
          </w:p>
        </w:tc>
        <w:tc>
          <w:tcPr>
            <w:tcW w:w="41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Сведения о регистрации по месту жительства в Российской Федерации</w:t>
            </w:r>
          </w:p>
        </w:tc>
        <w:tc>
          <w:tcPr>
            <w:tcW w:w="44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6.2.3</w:t>
            </w:r>
          </w:p>
        </w:tc>
        <w:tc>
          <w:tcPr>
            <w:tcW w:w="41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 xml:space="preserve">Государственный регистрационный номер записи </w:t>
              <w:br/>
              <w:t>о регистрации индивидуального предпринимателя в едином государственном реестре индивидуальных предпринимателей</w:t>
            </w:r>
          </w:p>
        </w:tc>
        <w:tc>
          <w:tcPr>
            <w:tcW w:w="44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6.2.4</w:t>
            </w:r>
          </w:p>
        </w:tc>
        <w:tc>
          <w:tcPr>
            <w:tcW w:w="41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Идентификационный номер налогоплательщика</w:t>
            </w:r>
          </w:p>
        </w:tc>
        <w:tc>
          <w:tcPr>
            <w:tcW w:w="44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6.2.5</w:t>
            </w:r>
          </w:p>
        </w:tc>
        <w:tc>
          <w:tcPr>
            <w:tcW w:w="41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Уникальный код идентификации (идентификатор), присвоенный в единой информационной системе жилищного строительства</w:t>
            </w:r>
          </w:p>
        </w:tc>
        <w:tc>
          <w:tcPr>
            <w:tcW w:w="44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</w:r>
          </w:p>
        </w:tc>
      </w:tr>
      <w:tr>
        <w:trPr/>
        <w:tc>
          <w:tcPr>
            <w:tcW w:w="9357" w:type="dxa"/>
            <w:gridSpan w:val="10"/>
            <w:tcBorders>
              <w:top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Почтовый адрес и (или) адрес электронной почты для связи:</w:t>
            </w:r>
          </w:p>
        </w:tc>
      </w:tr>
      <w:tr>
        <w:trPr/>
        <w:tc>
          <w:tcPr>
            <w:tcW w:w="9357" w:type="dxa"/>
            <w:gridSpan w:val="10"/>
            <w:tcBorders/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</w:r>
          </w:p>
        </w:tc>
      </w:tr>
      <w:tr>
        <w:trPr/>
        <w:tc>
          <w:tcPr>
            <w:tcW w:w="9357" w:type="dxa"/>
            <w:gridSpan w:val="10"/>
            <w:tcBorders/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widowControl w:val="false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 xml:space="preserve">Уведомление о соответствии построенных или реконструированных </w:t>
              <w:br/>
              <w:t>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прошу направить следующим способом:</w:t>
            </w:r>
          </w:p>
        </w:tc>
      </w:tr>
      <w:tr>
        <w:trPr/>
        <w:tc>
          <w:tcPr>
            <w:tcW w:w="9357" w:type="dxa"/>
            <w:gridSpan w:val="10"/>
            <w:tcBorders/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</w:r>
          </w:p>
        </w:tc>
      </w:tr>
      <w:tr>
        <w:trPr/>
        <w:tc>
          <w:tcPr>
            <w:tcW w:w="9357" w:type="dxa"/>
            <w:gridSpan w:val="10"/>
            <w:tcBorders/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widowControl w:val="false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(путем направления на почтовый адрес и (или) адрес электронной почты или нарочным в уполномоченном на выдачу разрешений на строительство федеральном органе исполнительной власти, органе исполнительной власти субъекта Российской Федерации или органе местного самоуправления, в том числе через многофункциональный центр)</w:t>
            </w:r>
          </w:p>
        </w:tc>
      </w:tr>
      <w:tr>
        <w:trPr/>
        <w:tc>
          <w:tcPr>
            <w:tcW w:w="9357" w:type="dxa"/>
            <w:gridSpan w:val="10"/>
            <w:tcBorders/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widowControl w:val="false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 xml:space="preserve">Настоящим уведомлением подтверждаю, что  </w:t>
            </w:r>
          </w:p>
          <w:p>
            <w:pPr>
              <w:pStyle w:val="Normal"/>
              <w:widowControl w:val="false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(объект индивидуального жилищного строительства или садовый дом)</w:t>
            </w:r>
          </w:p>
          <w:p>
            <w:pPr>
              <w:pStyle w:val="Normal"/>
              <w:widowControl w:val="false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не предназначен для раздела на самостоятельные объекты недвижимости, а также оплату государственной пошлины за осуществление государственной регистрации прав</w:t>
            </w:r>
          </w:p>
        </w:tc>
      </w:tr>
      <w:tr>
        <w:trPr/>
        <w:tc>
          <w:tcPr>
            <w:tcW w:w="9357" w:type="dxa"/>
            <w:gridSpan w:val="10"/>
            <w:tcBorders/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widowControl w:val="false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</w:r>
          </w:p>
        </w:tc>
      </w:tr>
      <w:tr>
        <w:trPr/>
        <w:tc>
          <w:tcPr>
            <w:tcW w:w="9357" w:type="dxa"/>
            <w:gridSpan w:val="10"/>
            <w:tcBorders/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widowControl w:val="false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(реквизиты платежного документа)</w:t>
            </w:r>
          </w:p>
        </w:tc>
      </w:tr>
      <w:tr>
        <w:trPr/>
        <w:tc>
          <w:tcPr>
            <w:tcW w:w="9357" w:type="dxa"/>
            <w:gridSpan w:val="10"/>
            <w:tcBorders/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widowControl w:val="false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 xml:space="preserve">Настоящим уведомлением я </w:t>
            </w:r>
          </w:p>
        </w:tc>
      </w:tr>
      <w:tr>
        <w:trPr/>
        <w:tc>
          <w:tcPr>
            <w:tcW w:w="9357" w:type="dxa"/>
            <w:gridSpan w:val="10"/>
            <w:tcBorders/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widowControl w:val="false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</w:r>
          </w:p>
        </w:tc>
      </w:tr>
      <w:tr>
        <w:trPr/>
        <w:tc>
          <w:tcPr>
            <w:tcW w:w="9357" w:type="dxa"/>
            <w:gridSpan w:val="10"/>
            <w:tcBorders/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widowControl w:val="false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(фамилия, имя, отчество (при наличии)</w:t>
            </w:r>
          </w:p>
        </w:tc>
      </w:tr>
      <w:tr>
        <w:trPr/>
        <w:tc>
          <w:tcPr>
            <w:tcW w:w="9357" w:type="dxa"/>
            <w:gridSpan w:val="10"/>
            <w:tcBorders/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widowControl w:val="false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даю согласие на обработку персональных данных (в случае если застройщиком является физическое лицо).</w:t>
            </w:r>
          </w:p>
        </w:tc>
      </w:tr>
      <w:tr>
        <w:trPr/>
        <w:tc>
          <w:tcPr>
            <w:tcW w:w="9357" w:type="dxa"/>
            <w:gridSpan w:val="10"/>
            <w:tcBorders/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widowControl w:val="false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</w:r>
          </w:p>
        </w:tc>
      </w:tr>
      <w:tr>
        <w:trPr/>
        <w:tc>
          <w:tcPr>
            <w:tcW w:w="3119" w:type="dxa"/>
            <w:gridSpan w:val="3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0"/>
              </w:rPr>
            </w:r>
          </w:p>
        </w:tc>
        <w:tc>
          <w:tcPr>
            <w:tcW w:w="680" w:type="dxa"/>
            <w:gridSpan w:val="2"/>
            <w:tcBorders/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0"/>
              </w:rPr>
            </w:r>
          </w:p>
        </w:tc>
        <w:tc>
          <w:tcPr>
            <w:tcW w:w="1986" w:type="dxa"/>
            <w:gridSpan w:val="2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0"/>
              </w:rPr>
            </w:r>
          </w:p>
        </w:tc>
        <w:tc>
          <w:tcPr>
            <w:tcW w:w="679" w:type="dxa"/>
            <w:gridSpan w:val="2"/>
            <w:tcBorders/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0"/>
              </w:rPr>
            </w:r>
          </w:p>
        </w:tc>
        <w:tc>
          <w:tcPr>
            <w:tcW w:w="2893" w:type="dxa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0"/>
              </w:rPr>
            </w:r>
          </w:p>
        </w:tc>
      </w:tr>
      <w:tr>
        <w:trPr/>
        <w:tc>
          <w:tcPr>
            <w:tcW w:w="3119" w:type="dxa"/>
            <w:gridSpan w:val="3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0"/>
              </w:rPr>
              <w:t>(должность, в случае если застройщиком является юридическое лицо)</w:t>
            </w:r>
          </w:p>
        </w:tc>
        <w:tc>
          <w:tcPr>
            <w:tcW w:w="680" w:type="dxa"/>
            <w:gridSpan w:val="2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jc w:val="left"/>
              <w:rPr>
                <w:kern w:val="0"/>
                <w:sz w:val="22"/>
                <w:szCs w:val="20"/>
              </w:rPr>
            </w:pPr>
            <w:r>
              <w:rPr>
                <w:kern w:val="0"/>
                <w:sz w:val="22"/>
                <w:szCs w:val="20"/>
              </w:rPr>
            </w:r>
          </w:p>
        </w:tc>
        <w:tc>
          <w:tcPr>
            <w:tcW w:w="1986" w:type="dxa"/>
            <w:gridSpan w:val="2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0"/>
              </w:rPr>
              <w:t>(подпись)</w:t>
            </w:r>
          </w:p>
        </w:tc>
        <w:tc>
          <w:tcPr>
            <w:tcW w:w="679" w:type="dxa"/>
            <w:gridSpan w:val="2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0"/>
              </w:rPr>
            </w:r>
          </w:p>
        </w:tc>
        <w:tc>
          <w:tcPr>
            <w:tcW w:w="2893" w:type="dxa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0"/>
              </w:rPr>
              <w:t>(расшифровка подписи)</w:t>
            </w:r>
          </w:p>
        </w:tc>
      </w:tr>
      <w:tr>
        <w:trPr/>
        <w:tc>
          <w:tcPr>
            <w:tcW w:w="9357" w:type="dxa"/>
            <w:gridSpan w:val="10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0"/>
              </w:rPr>
              <w:t>К настоящему уведомлению прилагается:</w:t>
            </w:r>
          </w:p>
        </w:tc>
      </w:tr>
      <w:tr>
        <w:trPr/>
        <w:tc>
          <w:tcPr>
            <w:tcW w:w="9357" w:type="dxa"/>
            <w:gridSpan w:val="10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0"/>
              </w:rPr>
            </w:r>
          </w:p>
        </w:tc>
      </w:tr>
      <w:tr>
        <w:trPr/>
        <w:tc>
          <w:tcPr>
            <w:tcW w:w="9357" w:type="dxa"/>
            <w:gridSpan w:val="10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0"/>
              </w:rPr>
              <w:t>(документы, предусмотренные частью 16, частью 22 (в случае направления настоящего уведомления от имени застройщика лицом, выполняющим работы по строительству объекта индивидуального жилищного строительства на основании договора строительного подряда с использованием счета эскроу) статьи 55 Градостроительного кодекса Российской Федерации)</w:t>
            </w:r>
          </w:p>
        </w:tc>
      </w:tr>
    </w:tbl>
    <w:p>
      <w:pPr>
        <w:pStyle w:val="Normal"/>
        <w:rPr/>
      </w:pPr>
      <w:r>
        <w:br w:type="page"/>
      </w:r>
      <w:r>
        <w:rPr/>
      </w:r>
    </w:p>
    <w:sectPr>
      <w:footerReference w:type="default" r:id="rId6"/>
      <w:footerReference w:type="first" r:id="rId7"/>
      <w:type w:val="nextPage"/>
      <w:pgSz w:w="11906" w:h="16838"/>
      <w:pgMar w:left="1701" w:right="850" w:gutter="0" w:header="0" w:top="1134" w:footer="3" w:bottom="1134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ourier New">
    <w:charset w:val="01"/>
    <w:family w:val="roman"/>
    <w:pitch w:val="default"/>
  </w:font>
  <w:font w:name="XO Thames">
    <w:charset w:val="01"/>
    <w:family w:val="roman"/>
    <w:pitch w:val="default"/>
  </w:font>
  <w:font w:name="Times New Roman">
    <w:charset w:val="01"/>
    <w:family w:val="auto"/>
    <w:pitch w:val="default"/>
  </w:font>
  <w:font w:name="Candara">
    <w:charset w:val="01"/>
    <w:family w:val="auto"/>
    <w:pitch w:val="default"/>
  </w:font>
  <w:font w:name="Consolas">
    <w:charset w:val="01"/>
    <w:family w:val="auto"/>
    <w:pitch w:val="default"/>
  </w:font>
  <w:font w:name="PT Astra Serif">
    <w:charset w:val="01"/>
    <w:family w:val="roman"/>
    <w:pitch w:val="default"/>
  </w:font>
  <w:font w:name="Tahoma">
    <w:charset w:val="01"/>
    <w:family w:val="roman"/>
    <w:pitch w:val="default"/>
  </w:font>
  <w:font w:name="Constantia">
    <w:charset w:val="01"/>
    <w:family w:val="auto"/>
    <w:pitch w:val="default"/>
  </w:font>
  <w:font w:name="Lucida Sans Unicode">
    <w:charset w:val="01"/>
    <w:family w:val="auto"/>
    <w:pitch w:val="default"/>
  </w:font>
  <w:font w:name="Lucida Sans Unicode">
    <w:charset w:val="01"/>
    <w:family w:val="roman"/>
    <w:pitch w:val="default"/>
  </w:font>
  <w:font w:name="Calibri"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4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4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settings.xml><?xml version="1.0" encoding="utf-8"?>
<w:settings xmlns:w="http://schemas.openxmlformats.org/wordprocessingml/2006/main">
  <w:zoom w:percent="64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Noto Sans Devanagari"/>
        <w:color w:val="000000"/>
        <w:sz w:val="22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ind w:left="0" w:right="0" w:hanging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1">
    <w:name w:val="Heading 1"/>
    <w:next w:val="Normal"/>
    <w:qFormat/>
    <w:pPr>
      <w:widowControl/>
      <w:numPr>
        <w:ilvl w:val="0"/>
        <w:numId w:val="0"/>
      </w:numPr>
      <w:kinsoku w:val="true"/>
      <w:overflowPunct w:val="true"/>
      <w:autoSpaceDE w:val="true"/>
      <w:bidi w:val="0"/>
      <w:spacing w:lineRule="auto" w:line="276" w:before="120" w:after="120"/>
      <w:ind w:left="0" w:right="0" w:hanging="0"/>
      <w:jc w:val="both"/>
      <w:outlineLvl w:val="0"/>
    </w:pPr>
    <w:rPr>
      <w:rFonts w:ascii="XO Thames" w:hAnsi="XO Thames" w:eastAsia="Tahoma" w:cs="Noto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2">
    <w:name w:val="Heading 2"/>
    <w:next w:val="Normal"/>
    <w:qFormat/>
    <w:pPr>
      <w:widowControl w:val="false"/>
      <w:numPr>
        <w:ilvl w:val="0"/>
        <w:numId w:val="0"/>
      </w:numPr>
      <w:kinsoku w:val="true"/>
      <w:overflowPunct w:val="true"/>
      <w:autoSpaceDE w:val="true"/>
      <w:bidi w:val="0"/>
      <w:spacing w:lineRule="auto" w:line="240" w:before="0" w:after="0"/>
      <w:ind w:left="0" w:right="0" w:hanging="0"/>
      <w:jc w:val="left"/>
      <w:outlineLvl w:val="1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3">
    <w:name w:val="Heading 3"/>
    <w:next w:val="Normal"/>
    <w:qFormat/>
    <w:pPr>
      <w:widowControl w:val="false"/>
      <w:numPr>
        <w:ilvl w:val="0"/>
        <w:numId w:val="0"/>
      </w:numPr>
      <w:kinsoku w:val="true"/>
      <w:overflowPunct w:val="true"/>
      <w:autoSpaceDE w:val="true"/>
      <w:bidi w:val="0"/>
      <w:spacing w:lineRule="auto" w:line="240" w:before="0" w:after="0"/>
      <w:ind w:left="0" w:right="0" w:hanging="0"/>
      <w:jc w:val="left"/>
      <w:outlineLvl w:val="2"/>
    </w:pPr>
    <w:rPr>
      <w:rFonts w:ascii="XO Thames" w:hAnsi="XO Thames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4">
    <w:name w:val="Heading 4"/>
    <w:next w:val="Normal"/>
    <w:qFormat/>
    <w:pPr>
      <w:widowControl/>
      <w:numPr>
        <w:ilvl w:val="0"/>
        <w:numId w:val="0"/>
      </w:numPr>
      <w:kinsoku w:val="true"/>
      <w:overflowPunct w:val="true"/>
      <w:autoSpaceDE w:val="true"/>
      <w:bidi w:val="0"/>
      <w:spacing w:lineRule="auto" w:line="276" w:before="120" w:after="120"/>
      <w:ind w:left="0" w:right="0" w:hanging="0"/>
      <w:jc w:val="both"/>
      <w:outlineLvl w:val="3"/>
    </w:pPr>
    <w:rPr>
      <w:rFonts w:ascii="XO Thames" w:hAnsi="XO Thames" w:eastAsia="Tahoma" w:cs="Noto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5">
    <w:name w:val="Heading 5"/>
    <w:next w:val="Normal"/>
    <w:qFormat/>
    <w:pPr>
      <w:widowControl/>
      <w:numPr>
        <w:ilvl w:val="0"/>
        <w:numId w:val="0"/>
      </w:numPr>
      <w:kinsoku w:val="true"/>
      <w:overflowPunct w:val="true"/>
      <w:autoSpaceDE w:val="true"/>
      <w:bidi w:val="0"/>
      <w:spacing w:lineRule="auto" w:line="276" w:before="120" w:after="120"/>
      <w:ind w:left="0" w:right="0" w:hanging="0"/>
      <w:jc w:val="both"/>
      <w:outlineLvl w:val="4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9pt">
    <w:name w:val="Основной текст + 9 pt;Полужирный;Курсив"/>
    <w:basedOn w:val="41"/>
    <w:link w:val="9pt4"/>
    <w:qFormat/>
    <w:rPr>
      <w:rFonts w:ascii="Times New Roman" w:hAnsi="Times New Roman"/>
      <w:b/>
      <w:i/>
      <w:color w:val="000000"/>
      <w:spacing w:val="0"/>
      <w:sz w:val="18"/>
    </w:rPr>
  </w:style>
  <w:style w:type="character" w:styleId="Title">
    <w:name w:val="Title"/>
    <w:qFormat/>
    <w:rPr>
      <w:rFonts w:ascii="XO Thames" w:hAnsi="XO Thames"/>
      <w:b/>
      <w:caps/>
      <w:color w:val="000000"/>
      <w:spacing w:val="0"/>
      <w:sz w:val="40"/>
    </w:rPr>
  </w:style>
  <w:style w:type="character" w:styleId="Contents2">
    <w:name w:val="Contents 2"/>
    <w:qFormat/>
    <w:rPr>
      <w:rFonts w:ascii="XO Thames" w:hAnsi="XO Thames"/>
      <w:color w:val="000000"/>
      <w:spacing w:val="0"/>
      <w:sz w:val="28"/>
    </w:rPr>
  </w:style>
  <w:style w:type="character" w:styleId="31">
    <w:name w:val="Подпись к таблице (3)"/>
    <w:basedOn w:val="34"/>
    <w:link w:val="37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0"/>
      <w:sz w:val="18"/>
      <w:u w:val="none"/>
    </w:rPr>
  </w:style>
  <w:style w:type="character" w:styleId="Style9">
    <w:name w:val="Колонтитул_"/>
    <w:basedOn w:val="DefaultParagraphFont"/>
    <w:link w:val="Style29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sz w:val="22"/>
      <w:u w:val="none"/>
    </w:rPr>
  </w:style>
  <w:style w:type="character" w:styleId="41">
    <w:name w:val="Основной текст4"/>
    <w:link w:val="44"/>
    <w:qFormat/>
    <w:rPr>
      <w:rFonts w:ascii="Times New Roman" w:hAnsi="Times New Roman"/>
      <w:color w:val="000000"/>
      <w:sz w:val="26"/>
    </w:rPr>
  </w:style>
  <w:style w:type="character" w:styleId="Contents4">
    <w:name w:val="Contents 4"/>
    <w:qFormat/>
    <w:rPr>
      <w:rFonts w:ascii="XO Thames" w:hAnsi="XO Thames"/>
      <w:color w:val="000000"/>
      <w:spacing w:val="0"/>
      <w:sz w:val="28"/>
    </w:rPr>
  </w:style>
  <w:style w:type="character" w:styleId="5pt">
    <w:name w:val="Основной текст + 5 pt;Полужирный"/>
    <w:basedOn w:val="41"/>
    <w:link w:val="5pt2"/>
    <w:qFormat/>
    <w:rPr>
      <w:rFonts w:ascii="Times New Roman" w:hAnsi="Times New Roman"/>
      <w:b/>
      <w:color w:val="000000"/>
      <w:spacing w:val="0"/>
      <w:sz w:val="10"/>
    </w:rPr>
  </w:style>
  <w:style w:type="character" w:styleId="6">
    <w:name w:val="Основной текст (6)_"/>
    <w:basedOn w:val="DefaultParagraphFont"/>
    <w:link w:val="62"/>
    <w:qFormat/>
    <w:rPr>
      <w:rFonts w:ascii="Times New Roman" w:hAnsi="Times New Roman"/>
      <w:b w:val="false"/>
      <w:i/>
      <w:caps w:val="false"/>
      <w:smallCaps w:val="false"/>
      <w:strike w:val="false"/>
      <w:dstrike w:val="false"/>
      <w:sz w:val="21"/>
      <w:u w:val="none"/>
    </w:rPr>
  </w:style>
  <w:style w:type="character" w:styleId="51">
    <w:name w:val="Основной текст (5)"/>
    <w:basedOn w:val="52"/>
    <w:link w:val="53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0"/>
      <w:sz w:val="20"/>
      <w:u w:val="none"/>
    </w:rPr>
  </w:style>
  <w:style w:type="character" w:styleId="Style10">
    <w:name w:val="Содержимое врезки"/>
    <w:qFormat/>
    <w:rPr/>
  </w:style>
  <w:style w:type="character" w:styleId="Contents6">
    <w:name w:val="Contents 6"/>
    <w:qFormat/>
    <w:rPr>
      <w:rFonts w:ascii="XO Thames" w:hAnsi="XO Thames"/>
      <w:color w:val="000000"/>
      <w:spacing w:val="0"/>
      <w:sz w:val="28"/>
    </w:rPr>
  </w:style>
  <w:style w:type="character" w:styleId="21">
    <w:name w:val="Основной текст (2)"/>
    <w:basedOn w:val="24"/>
    <w:link w:val="29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0"/>
      <w:sz w:val="23"/>
      <w:u w:val="none"/>
    </w:rPr>
  </w:style>
  <w:style w:type="character" w:styleId="Contents7">
    <w:name w:val="Contents 7"/>
    <w:qFormat/>
    <w:rPr>
      <w:rFonts w:ascii="XO Thames" w:hAnsi="XO Thames"/>
      <w:color w:val="000000"/>
      <w:spacing w:val="0"/>
      <w:sz w:val="28"/>
    </w:rPr>
  </w:style>
  <w:style w:type="character" w:styleId="11">
    <w:name w:val="Основной текст1"/>
    <w:basedOn w:val="41"/>
    <w:link w:val="18"/>
    <w:qFormat/>
    <w:rPr>
      <w:rFonts w:ascii="Times New Roman" w:hAnsi="Times New Roman"/>
      <w:color w:val="000000"/>
      <w:spacing w:val="0"/>
      <w:sz w:val="26"/>
    </w:rPr>
  </w:style>
  <w:style w:type="character" w:styleId="Subtitle">
    <w:name w:val="Subtitle"/>
    <w:qFormat/>
    <w:rPr>
      <w:rFonts w:ascii="XO Thames" w:hAnsi="XO Thames"/>
      <w:i/>
      <w:sz w:val="24"/>
    </w:rPr>
  </w:style>
  <w:style w:type="character" w:styleId="22">
    <w:name w:val="Подпись к таблице (2)_"/>
    <w:basedOn w:val="DefaultParagraphFont"/>
    <w:link w:val="210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sz w:val="26"/>
      <w:u w:val="none"/>
    </w:rPr>
  </w:style>
  <w:style w:type="character" w:styleId="9">
    <w:name w:val="Основной текст (9)"/>
    <w:link w:val="92"/>
    <w:qFormat/>
    <w:rPr>
      <w:rFonts w:ascii="Times New Roman" w:hAnsi="Times New Roman"/>
      <w:b/>
      <w:color w:val="000000"/>
      <w:sz w:val="26"/>
    </w:rPr>
  </w:style>
  <w:style w:type="character" w:styleId="Style11">
    <w:name w:val="Символ концевой сноски"/>
    <w:link w:val="Style32"/>
    <w:qFormat/>
    <w:rPr>
      <w:vertAlign w:val="superscript"/>
    </w:rPr>
  </w:style>
  <w:style w:type="character" w:styleId="23">
    <w:name w:val="Сноска (2)"/>
    <w:basedOn w:val="25"/>
    <w:link w:val="211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0"/>
      <w:sz w:val="18"/>
      <w:u w:val="none"/>
    </w:rPr>
  </w:style>
  <w:style w:type="character" w:styleId="7">
    <w:name w:val="Основной текст (7)_"/>
    <w:basedOn w:val="DefaultParagraphFont"/>
    <w:link w:val="73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sz w:val="18"/>
      <w:u w:val="none"/>
    </w:rPr>
  </w:style>
  <w:style w:type="character" w:styleId="Contents7WW">
    <w:name w:val="Contents 7 (WW)"/>
    <w:link w:val="Contents7WW1"/>
    <w:qFormat/>
    <w:rPr>
      <w:rFonts w:ascii="XO Thames" w:hAnsi="XO Thames"/>
      <w:sz w:val="28"/>
    </w:rPr>
  </w:style>
  <w:style w:type="character" w:styleId="EndnoteWW">
    <w:name w:val="Endnote (WW)"/>
    <w:link w:val="EndnoteWW1"/>
    <w:qFormat/>
    <w:rPr>
      <w:rFonts w:ascii="XO Thames" w:hAnsi="XO Thames"/>
      <w:color w:val="000000"/>
      <w:spacing w:val="0"/>
      <w:sz w:val="22"/>
    </w:rPr>
  </w:style>
  <w:style w:type="character" w:styleId="Heading3">
    <w:name w:val="Heading 3"/>
    <w:qFormat/>
    <w:rPr>
      <w:rFonts w:ascii="XO Thames" w:hAnsi="XO Thames"/>
      <w:b/>
      <w:sz w:val="26"/>
    </w:rPr>
  </w:style>
  <w:style w:type="character" w:styleId="111">
    <w:name w:val="Основной текст (11)_"/>
    <w:basedOn w:val="DefaultParagraphFont"/>
    <w:link w:val="113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sz w:val="21"/>
      <w:u w:val="none"/>
    </w:rPr>
  </w:style>
  <w:style w:type="character" w:styleId="10">
    <w:name w:val="Основной текст (10) + Не курсив"/>
    <w:basedOn w:val="101"/>
    <w:link w:val="102"/>
    <w:qFormat/>
    <w:rPr>
      <w:rFonts w:ascii="Times New Roman" w:hAnsi="Times New Roman"/>
      <w:i/>
      <w:color w:val="000000"/>
      <w:spacing w:val="0"/>
      <w:sz w:val="26"/>
    </w:rPr>
  </w:style>
  <w:style w:type="character" w:styleId="32">
    <w:name w:val="Основной текст3"/>
    <w:basedOn w:val="41"/>
    <w:link w:val="38"/>
    <w:qFormat/>
    <w:rPr>
      <w:rFonts w:ascii="Times New Roman" w:hAnsi="Times New Roman"/>
      <w:color w:val="000000"/>
      <w:spacing w:val="0"/>
      <w:sz w:val="26"/>
    </w:rPr>
  </w:style>
  <w:style w:type="character" w:styleId="5pt1">
    <w:name w:val="Основной текст + 5 pt;Курсив"/>
    <w:basedOn w:val="41"/>
    <w:link w:val="5pt3"/>
    <w:qFormat/>
    <w:rPr>
      <w:rFonts w:ascii="Times New Roman" w:hAnsi="Times New Roman"/>
      <w:i/>
      <w:color w:val="000000"/>
      <w:spacing w:val="0"/>
      <w:sz w:val="10"/>
    </w:rPr>
  </w:style>
  <w:style w:type="character" w:styleId="112">
    <w:name w:val="Основной текст (11)"/>
    <w:basedOn w:val="111"/>
    <w:link w:val="114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0"/>
      <w:sz w:val="21"/>
      <w:u w:val="single"/>
    </w:rPr>
  </w:style>
  <w:style w:type="character" w:styleId="9pt1">
    <w:name w:val="Колонтитул + 9 pt;Курсив"/>
    <w:basedOn w:val="Style9"/>
    <w:link w:val="9pt5"/>
    <w:qFormat/>
    <w:rPr>
      <w:rFonts w:ascii="Times New Roman" w:hAnsi="Times New Roman"/>
      <w:b w:val="false"/>
      <w:i/>
      <w:caps w:val="false"/>
      <w:smallCaps w:val="false"/>
      <w:strike w:val="false"/>
      <w:dstrike w:val="false"/>
      <w:color w:val="000000"/>
      <w:spacing w:val="0"/>
      <w:sz w:val="18"/>
      <w:u w:val="none"/>
    </w:rPr>
  </w:style>
  <w:style w:type="character" w:styleId="Style12">
    <w:name w:val="Колонтитул"/>
    <w:basedOn w:val="Style9"/>
    <w:link w:val="Style33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0"/>
      <w:sz w:val="22"/>
      <w:u w:val="none"/>
    </w:rPr>
  </w:style>
  <w:style w:type="character" w:styleId="110ptExact">
    <w:name w:val="Основной текст (11) + Интервал 0 pt Exact"/>
    <w:basedOn w:val="111"/>
    <w:link w:val="110ptExact1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4"/>
      <w:sz w:val="20"/>
      <w:u w:val="none"/>
    </w:rPr>
  </w:style>
  <w:style w:type="character" w:styleId="Contents5WW">
    <w:name w:val="Contents 5 (WW)"/>
    <w:link w:val="Contents5WW1"/>
    <w:qFormat/>
    <w:rPr>
      <w:rFonts w:ascii="XO Thames" w:hAnsi="XO Thames"/>
      <w:sz w:val="28"/>
    </w:rPr>
  </w:style>
  <w:style w:type="character" w:styleId="Candara9pt">
    <w:name w:val="Основной текст + Candara;9 pt"/>
    <w:basedOn w:val="41"/>
    <w:link w:val="Candara9pt1"/>
    <w:qFormat/>
    <w:rPr>
      <w:rFonts w:ascii="Candara" w:hAnsi="Candara"/>
      <w:color w:val="000000"/>
      <w:spacing w:val="0"/>
      <w:sz w:val="18"/>
    </w:rPr>
  </w:style>
  <w:style w:type="character" w:styleId="Heading1">
    <w:name w:val="Heading 1"/>
    <w:qFormat/>
    <w:rPr>
      <w:rFonts w:ascii="XO Thames" w:hAnsi="XO Thames"/>
      <w:b/>
      <w:color w:val="000000"/>
      <w:spacing w:val="0"/>
      <w:sz w:val="32"/>
    </w:rPr>
  </w:style>
  <w:style w:type="character" w:styleId="4pt">
    <w:name w:val="Основной текст + 4 pt;Полужирный"/>
    <w:basedOn w:val="41"/>
    <w:link w:val="4pt1"/>
    <w:qFormat/>
    <w:rPr>
      <w:rFonts w:ascii="Times New Roman" w:hAnsi="Times New Roman"/>
      <w:b/>
      <w:color w:val="000000"/>
      <w:spacing w:val="0"/>
      <w:sz w:val="8"/>
    </w:rPr>
  </w:style>
  <w:style w:type="character" w:styleId="24">
    <w:name w:val="Основной текст (2)_"/>
    <w:basedOn w:val="DefaultParagraphFont"/>
    <w:link w:val="212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sz w:val="23"/>
      <w:u w:val="none"/>
    </w:rPr>
  </w:style>
  <w:style w:type="character" w:styleId="16">
    <w:name w:val="Основной текст (16)"/>
    <w:link w:val="161"/>
    <w:qFormat/>
    <w:rPr>
      <w:rFonts w:ascii="Consolas" w:hAnsi="Consolas"/>
      <w:color w:val="000000"/>
      <w:sz w:val="19"/>
    </w:rPr>
  </w:style>
  <w:style w:type="character" w:styleId="Style13">
    <w:name w:val="Заголовок"/>
    <w:link w:val="Style23"/>
    <w:qFormat/>
    <w:rPr>
      <w:rFonts w:ascii="PT Astra Serif" w:hAnsi="PT Astra Serif"/>
      <w:sz w:val="28"/>
    </w:rPr>
  </w:style>
  <w:style w:type="character" w:styleId="Exact">
    <w:name w:val="Основной текст Exact"/>
    <w:basedOn w:val="DefaultParagraphFont"/>
    <w:link w:val="Exact1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spacing w:val="3"/>
      <w:u w:val="none"/>
    </w:rPr>
  </w:style>
  <w:style w:type="character" w:styleId="13pt">
    <w:name w:val="Заголовок №1 + Интервал 3 pt"/>
    <w:basedOn w:val="15"/>
    <w:link w:val="13pt2"/>
    <w:qFormat/>
    <w:rPr>
      <w:rFonts w:ascii="Times New Roman" w:hAnsi="Times New Roman"/>
      <w:b/>
      <w:color w:val="000000"/>
      <w:spacing w:val="70"/>
      <w:sz w:val="26"/>
    </w:rPr>
  </w:style>
  <w:style w:type="character" w:styleId="Style14">
    <w:name w:val="Символ сноски"/>
    <w:link w:val="Style34"/>
    <w:qFormat/>
    <w:rPr>
      <w:vertAlign w:val="superscript"/>
    </w:rPr>
  </w:style>
  <w:style w:type="character" w:styleId="101">
    <w:name w:val="Основной текст (10)"/>
    <w:link w:val="103"/>
    <w:qFormat/>
    <w:rPr>
      <w:rFonts w:ascii="Times New Roman" w:hAnsi="Times New Roman"/>
      <w:i/>
      <w:color w:val="000000"/>
      <w:sz w:val="26"/>
    </w:rPr>
  </w:style>
  <w:style w:type="character" w:styleId="8">
    <w:name w:val="Основной текст (8)"/>
    <w:basedOn w:val="81"/>
    <w:link w:val="82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0"/>
      <w:sz w:val="26"/>
      <w:u w:val="none"/>
    </w:rPr>
  </w:style>
  <w:style w:type="character" w:styleId="25">
    <w:name w:val="Сноска (2)_"/>
    <w:basedOn w:val="DefaultParagraphFont"/>
    <w:link w:val="213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sz w:val="18"/>
      <w:u w:val="none"/>
    </w:rPr>
  </w:style>
  <w:style w:type="character" w:styleId="33">
    <w:name w:val="Сноска (3)"/>
    <w:link w:val="39"/>
    <w:qFormat/>
    <w:rPr>
      <w:rFonts w:ascii="Times New Roman" w:hAnsi="Times New Roman"/>
      <w:color w:val="000000"/>
      <w:sz w:val="26"/>
    </w:rPr>
  </w:style>
  <w:style w:type="character" w:styleId="45pt">
    <w:name w:val="Основной текст + 4;5 pt"/>
    <w:basedOn w:val="41"/>
    <w:link w:val="45pt1"/>
    <w:qFormat/>
    <w:rPr>
      <w:rFonts w:ascii="Times New Roman" w:hAnsi="Times New Roman"/>
      <w:color w:val="000000"/>
      <w:spacing w:val="0"/>
      <w:sz w:val="9"/>
    </w:rPr>
  </w:style>
  <w:style w:type="character" w:styleId="FootnoteWW">
    <w:name w:val="Footnote (WW)"/>
    <w:basedOn w:val="Style19"/>
    <w:link w:val="FootnoteWW1"/>
    <w:qFormat/>
    <w:rPr>
      <w:rFonts w:ascii="XO Thames" w:hAnsi="XO Thames"/>
      <w:color w:val="000000"/>
      <w:spacing w:val="0"/>
      <w:sz w:val="22"/>
    </w:rPr>
  </w:style>
  <w:style w:type="character" w:styleId="BalloonText">
    <w:name w:val="Balloon Text"/>
    <w:link w:val="BalloonText1"/>
    <w:qFormat/>
    <w:rPr>
      <w:rFonts w:ascii="Tahoma" w:hAnsi="Tahoma"/>
      <w:sz w:val="16"/>
    </w:rPr>
  </w:style>
  <w:style w:type="character" w:styleId="13">
    <w:name w:val="Основной текст (13)"/>
    <w:link w:val="131"/>
    <w:qFormat/>
    <w:rPr>
      <w:rFonts w:ascii="Times New Roman" w:hAnsi="Times New Roman"/>
      <w:b/>
      <w:color w:val="000000"/>
      <w:sz w:val="20"/>
    </w:rPr>
  </w:style>
  <w:style w:type="character" w:styleId="17">
    <w:name w:val="Основной текст (17)"/>
    <w:link w:val="171"/>
    <w:qFormat/>
    <w:rPr>
      <w:rFonts w:ascii="Times New Roman" w:hAnsi="Times New Roman"/>
      <w:color w:val="000000"/>
      <w:sz w:val="12"/>
    </w:rPr>
  </w:style>
  <w:style w:type="character" w:styleId="Constantia55pt">
    <w:name w:val="Колонтитул + Constantia;5;5 pt"/>
    <w:basedOn w:val="Style9"/>
    <w:link w:val="Constantia55pt1"/>
    <w:qFormat/>
    <w:rPr>
      <w:rFonts w:ascii="Constantia" w:hAnsi="Constantia"/>
      <w:b w:val="false"/>
      <w:i w:val="false"/>
      <w:caps w:val="false"/>
      <w:smallCaps w:val="false"/>
      <w:strike w:val="false"/>
      <w:dstrike w:val="false"/>
      <w:color w:val="000000"/>
      <w:spacing w:val="0"/>
      <w:sz w:val="11"/>
      <w:u w:val="none"/>
    </w:rPr>
  </w:style>
  <w:style w:type="character" w:styleId="4pt150">
    <w:name w:val="Основной текст + 4 pt;Курсив;Масштаб 150%"/>
    <w:basedOn w:val="41"/>
    <w:link w:val="4pt1501"/>
    <w:qFormat/>
    <w:rPr>
      <w:rFonts w:ascii="Times New Roman" w:hAnsi="Times New Roman"/>
      <w:i/>
      <w:color w:val="000000"/>
      <w:spacing w:val="0"/>
      <w:sz w:val="8"/>
    </w:rPr>
  </w:style>
  <w:style w:type="character" w:styleId="Header">
    <w:name w:val="Header"/>
    <w:qFormat/>
    <w:rPr/>
  </w:style>
  <w:style w:type="character" w:styleId="9pt2">
    <w:name w:val="Основной текст + 9 pt;Полужирный"/>
    <w:basedOn w:val="41"/>
    <w:link w:val="9pt6"/>
    <w:qFormat/>
    <w:rPr>
      <w:rFonts w:ascii="Times New Roman" w:hAnsi="Times New Roman"/>
      <w:b/>
      <w:color w:val="000000"/>
      <w:spacing w:val="0"/>
      <w:sz w:val="18"/>
    </w:rPr>
  </w:style>
  <w:style w:type="character" w:styleId="23pt">
    <w:name w:val="Основной текст (2) + Интервал 3 pt"/>
    <w:basedOn w:val="24"/>
    <w:link w:val="23pt1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60"/>
      <w:sz w:val="23"/>
      <w:u w:val="none"/>
    </w:rPr>
  </w:style>
  <w:style w:type="character" w:styleId="26">
    <w:name w:val="Подпись к таблице (2)"/>
    <w:basedOn w:val="22"/>
    <w:link w:val="214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0"/>
      <w:sz w:val="26"/>
      <w:u w:val="single"/>
    </w:rPr>
  </w:style>
  <w:style w:type="character" w:styleId="Style15">
    <w:name w:val="Основной текст + Курсив"/>
    <w:basedOn w:val="41"/>
    <w:link w:val="Style36"/>
    <w:qFormat/>
    <w:rPr>
      <w:rFonts w:ascii="Times New Roman" w:hAnsi="Times New Roman"/>
      <w:i/>
      <w:color w:val="000000"/>
      <w:spacing w:val="0"/>
      <w:sz w:val="26"/>
    </w:rPr>
  </w:style>
  <w:style w:type="character" w:styleId="27">
    <w:name w:val="Основной текст2"/>
    <w:basedOn w:val="41"/>
    <w:link w:val="215"/>
    <w:qFormat/>
    <w:rPr>
      <w:rFonts w:ascii="Times New Roman" w:hAnsi="Times New Roman"/>
      <w:color w:val="000000"/>
      <w:spacing w:val="0"/>
      <w:sz w:val="26"/>
      <w:u w:val="single"/>
    </w:rPr>
  </w:style>
  <w:style w:type="character" w:styleId="Contents3">
    <w:name w:val="Contents 3"/>
    <w:qFormat/>
    <w:rPr>
      <w:rFonts w:ascii="XO Thames" w:hAnsi="XO Thames"/>
      <w:color w:val="000000"/>
      <w:spacing w:val="0"/>
      <w:sz w:val="28"/>
    </w:rPr>
  </w:style>
  <w:style w:type="character" w:styleId="42">
    <w:name w:val="Основной текст (4)_"/>
    <w:basedOn w:val="DefaultParagraphFont"/>
    <w:link w:val="46"/>
    <w:qFormat/>
    <w:rPr>
      <w:rFonts w:ascii="Times New Roman" w:hAnsi="Times New Roman"/>
      <w:b w:val="false"/>
      <w:i/>
      <w:caps w:val="false"/>
      <w:smallCaps w:val="false"/>
      <w:strike w:val="false"/>
      <w:dstrike w:val="false"/>
      <w:sz w:val="19"/>
      <w:u w:val="none"/>
    </w:rPr>
  </w:style>
  <w:style w:type="character" w:styleId="34">
    <w:name w:val="Подпись к таблице (3)_"/>
    <w:basedOn w:val="DefaultParagraphFont"/>
    <w:link w:val="311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sz w:val="18"/>
      <w:u w:val="none"/>
    </w:rPr>
  </w:style>
  <w:style w:type="character" w:styleId="Contents9WW">
    <w:name w:val="Contents 9 (WW)"/>
    <w:link w:val="Contents9WW1"/>
    <w:qFormat/>
    <w:rPr>
      <w:rFonts w:ascii="XO Thames" w:hAnsi="XO Thames"/>
      <w:sz w:val="28"/>
    </w:rPr>
  </w:style>
  <w:style w:type="character" w:styleId="Style16">
    <w:name w:val="Footnote Reference"/>
    <w:rPr>
      <w:vertAlign w:val="superscript"/>
    </w:rPr>
  </w:style>
  <w:style w:type="character" w:styleId="Style17">
    <w:name w:val="Подпись к таблице"/>
    <w:basedOn w:val="Style18"/>
    <w:link w:val="Style37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0"/>
      <w:sz w:val="21"/>
      <w:u w:val="none"/>
    </w:rPr>
  </w:style>
  <w:style w:type="character" w:styleId="45pt0pt">
    <w:name w:val="Основной текст + 4;5 pt;Интервал 0 pt"/>
    <w:basedOn w:val="41"/>
    <w:link w:val="45pt0pt1"/>
    <w:qFormat/>
    <w:rPr>
      <w:rFonts w:ascii="Times New Roman" w:hAnsi="Times New Roman"/>
      <w:color w:val="000000"/>
      <w:spacing w:val="10"/>
      <w:sz w:val="9"/>
    </w:rPr>
  </w:style>
  <w:style w:type="character" w:styleId="Textbody">
    <w:name w:val="Text body"/>
    <w:qFormat/>
    <w:rPr/>
  </w:style>
  <w:style w:type="character" w:styleId="Contents2WW">
    <w:name w:val="Contents 2 (WW)"/>
    <w:link w:val="Contents2WW1"/>
    <w:qFormat/>
    <w:rPr>
      <w:rFonts w:ascii="XO Thames" w:hAnsi="XO Thames"/>
      <w:sz w:val="28"/>
    </w:rPr>
  </w:style>
  <w:style w:type="character" w:styleId="55pt">
    <w:name w:val="Основной текст + 5;5 pt;Полужирный"/>
    <w:basedOn w:val="41"/>
    <w:link w:val="55pt1"/>
    <w:qFormat/>
    <w:rPr>
      <w:rFonts w:ascii="Times New Roman" w:hAnsi="Times New Roman"/>
      <w:b/>
      <w:color w:val="000000"/>
      <w:spacing w:val="0"/>
      <w:sz w:val="11"/>
    </w:rPr>
  </w:style>
  <w:style w:type="character" w:styleId="Style18">
    <w:name w:val="Подпись к таблице_"/>
    <w:basedOn w:val="DefaultParagraphFont"/>
    <w:link w:val="Style38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sz w:val="21"/>
      <w:u w:val="none"/>
    </w:rPr>
  </w:style>
  <w:style w:type="character" w:styleId="Style19">
    <w:name w:val="Сноска_"/>
    <w:basedOn w:val="DefaultParagraphFont"/>
    <w:link w:val="Style39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sz w:val="21"/>
      <w:u w:val="none"/>
    </w:rPr>
  </w:style>
  <w:style w:type="character" w:styleId="12">
    <w:name w:val="Основной текст (12)"/>
    <w:link w:val="121"/>
    <w:qFormat/>
    <w:rPr>
      <w:rFonts w:ascii="Times New Roman" w:hAnsi="Times New Roman"/>
      <w:color w:val="000000"/>
      <w:sz w:val="12"/>
    </w:rPr>
  </w:style>
  <w:style w:type="character" w:styleId="Heading5">
    <w:name w:val="Heading 5"/>
    <w:qFormat/>
    <w:rPr>
      <w:rFonts w:ascii="XO Thames" w:hAnsi="XO Thames"/>
      <w:b/>
      <w:color w:val="000000"/>
      <w:spacing w:val="0"/>
      <w:sz w:val="22"/>
    </w:rPr>
  </w:style>
  <w:style w:type="character" w:styleId="Caption">
    <w:name w:val="Caption"/>
    <w:qFormat/>
    <w:rPr>
      <w:rFonts w:ascii="PT Astra Serif" w:hAnsi="PT Astra Serif"/>
      <w:i/>
      <w:sz w:val="24"/>
    </w:rPr>
  </w:style>
  <w:style w:type="character" w:styleId="43">
    <w:name w:val="Основной текст (4)"/>
    <w:basedOn w:val="42"/>
    <w:link w:val="47"/>
    <w:qFormat/>
    <w:rPr>
      <w:rFonts w:ascii="Times New Roman" w:hAnsi="Times New Roman"/>
      <w:b w:val="false"/>
      <w:i/>
      <w:caps w:val="false"/>
      <w:smallCaps w:val="false"/>
      <w:strike w:val="false"/>
      <w:dstrike w:val="false"/>
      <w:color w:val="000000"/>
      <w:spacing w:val="0"/>
      <w:sz w:val="19"/>
      <w:u w:val="none"/>
    </w:rPr>
  </w:style>
  <w:style w:type="character" w:styleId="Contents6WW">
    <w:name w:val="Contents 6 (WW)"/>
    <w:link w:val="Contents6WW1"/>
    <w:qFormat/>
    <w:rPr>
      <w:rFonts w:ascii="XO Thames" w:hAnsi="XO Thames"/>
      <w:sz w:val="28"/>
    </w:rPr>
  </w:style>
  <w:style w:type="character" w:styleId="115pt">
    <w:name w:val="Основной текст + 11;5 pt;Полужирный"/>
    <w:basedOn w:val="41"/>
    <w:link w:val="115pt1"/>
    <w:qFormat/>
    <w:rPr>
      <w:rFonts w:ascii="Times New Roman" w:hAnsi="Times New Roman"/>
      <w:b/>
      <w:color w:val="000000"/>
      <w:spacing w:val="0"/>
      <w:sz w:val="23"/>
    </w:rPr>
  </w:style>
  <w:style w:type="character" w:styleId="13pt1">
    <w:name w:val="Колонтитул + 13 pt;Полужирный"/>
    <w:basedOn w:val="Style9"/>
    <w:link w:val="13pt3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0"/>
      <w:sz w:val="26"/>
      <w:u w:val="none"/>
    </w:rPr>
  </w:style>
  <w:style w:type="character" w:styleId="Contents1WW">
    <w:name w:val="Contents 1 (WW)"/>
    <w:link w:val="Contents1WW1"/>
    <w:qFormat/>
    <w:rPr>
      <w:rFonts w:ascii="Times New Roman" w:hAnsi="Times New Roman"/>
      <w:color w:val="000000"/>
      <w:sz w:val="26"/>
    </w:rPr>
  </w:style>
  <w:style w:type="character" w:styleId="-">
    <w:name w:val="Hyperlink"/>
    <w:basedOn w:val="DefaultParagraphFont"/>
    <w:rPr>
      <w:color w:val="0066CC"/>
      <w:u w:val="single"/>
    </w:rPr>
  </w:style>
  <w:style w:type="character" w:styleId="ConsPlusTitle">
    <w:name w:val="ConsPlusTitle"/>
    <w:link w:val="ConsPlusTitle1"/>
    <w:qFormat/>
    <w:rPr>
      <w:rFonts w:ascii="Calibri" w:hAnsi="Calibri"/>
      <w:b/>
      <w:color w:val="000000"/>
      <w:spacing w:val="0"/>
      <w:sz w:val="22"/>
    </w:rPr>
  </w:style>
  <w:style w:type="character" w:styleId="14">
    <w:name w:val="Основной текст (14)"/>
    <w:link w:val="141"/>
    <w:qFormat/>
    <w:rPr>
      <w:rFonts w:ascii="Times New Roman" w:hAnsi="Times New Roman"/>
      <w:b/>
      <w:i/>
      <w:color w:val="000000"/>
      <w:sz w:val="18"/>
    </w:rPr>
  </w:style>
  <w:style w:type="character" w:styleId="Contents1">
    <w:name w:val="Contents 1"/>
    <w:qFormat/>
    <w:rPr>
      <w:rFonts w:ascii="Times New Roman" w:hAnsi="Times New Roman"/>
      <w:color w:val="000000"/>
      <w:sz w:val="26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Heading2">
    <w:name w:val="Heading 2"/>
    <w:qFormat/>
    <w:rPr>
      <w:rFonts w:ascii="XO Thames" w:hAnsi="XO Thames"/>
      <w:b/>
      <w:sz w:val="28"/>
    </w:rPr>
  </w:style>
  <w:style w:type="character" w:styleId="Heading4">
    <w:name w:val="Heading 4"/>
    <w:qFormat/>
    <w:rPr>
      <w:rFonts w:ascii="XO Thames" w:hAnsi="XO Thames"/>
      <w:b/>
      <w:color w:val="000000"/>
      <w:spacing w:val="0"/>
      <w:sz w:val="24"/>
    </w:rPr>
  </w:style>
  <w:style w:type="character" w:styleId="105pt">
    <w:name w:val="Основной текст + 10;5 pt;Курсив"/>
    <w:basedOn w:val="41"/>
    <w:link w:val="105pt3"/>
    <w:qFormat/>
    <w:rPr>
      <w:rFonts w:ascii="Times New Roman" w:hAnsi="Times New Roman"/>
      <w:i/>
      <w:color w:val="000000"/>
      <w:spacing w:val="0"/>
      <w:sz w:val="21"/>
    </w:rPr>
  </w:style>
  <w:style w:type="character" w:styleId="Contents9">
    <w:name w:val="Contents 9"/>
    <w:qFormat/>
    <w:rPr>
      <w:rFonts w:ascii="XO Thames" w:hAnsi="XO Thames"/>
      <w:color w:val="000000"/>
      <w:spacing w:val="0"/>
      <w:sz w:val="28"/>
    </w:rPr>
  </w:style>
  <w:style w:type="character" w:styleId="Contents8WW">
    <w:name w:val="Contents 8 (WW)"/>
    <w:link w:val="Contents8WW1"/>
    <w:qFormat/>
    <w:rPr>
      <w:rFonts w:ascii="XO Thames" w:hAnsi="XO Thames"/>
      <w:sz w:val="28"/>
    </w:rPr>
  </w:style>
  <w:style w:type="character" w:styleId="Style20">
    <w:name w:val="Указатель"/>
    <w:link w:val="Style27"/>
    <w:qFormat/>
    <w:rPr>
      <w:rFonts w:ascii="PT Astra Serif" w:hAnsi="PT Astra Serif"/>
    </w:rPr>
  </w:style>
  <w:style w:type="character" w:styleId="35">
    <w:name w:val="Основной текст (3)"/>
    <w:basedOn w:val="36"/>
    <w:link w:val="312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0"/>
      <w:sz w:val="18"/>
      <w:u w:val="none"/>
    </w:rPr>
  </w:style>
  <w:style w:type="character" w:styleId="Contents4WW">
    <w:name w:val="Contents 4 (WW)"/>
    <w:link w:val="Contents4WW1"/>
    <w:qFormat/>
    <w:rPr>
      <w:rFonts w:ascii="XO Thames" w:hAnsi="XO Thames"/>
      <w:sz w:val="28"/>
    </w:rPr>
  </w:style>
  <w:style w:type="character" w:styleId="81">
    <w:name w:val="Основной текст (8)_"/>
    <w:basedOn w:val="DefaultParagraphFont"/>
    <w:link w:val="83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sz w:val="26"/>
      <w:u w:val="none"/>
    </w:rPr>
  </w:style>
  <w:style w:type="character" w:styleId="4LucidaSansUnicode9pt66">
    <w:name w:val="Основной текст (4) + Lucida Sans Unicode;9 pt;Не курсив;Масштаб 66%"/>
    <w:basedOn w:val="42"/>
    <w:link w:val="4LucidaSansUnicode9pt661"/>
    <w:qFormat/>
    <w:rPr>
      <w:rFonts w:ascii="Lucida Sans Unicode" w:hAnsi="Lucida Sans Unicode"/>
      <w:b w:val="false"/>
      <w:i/>
      <w:caps w:val="false"/>
      <w:smallCaps w:val="false"/>
      <w:strike w:val="false"/>
      <w:dstrike w:val="false"/>
      <w:color w:val="000000"/>
      <w:spacing w:val="0"/>
      <w:sz w:val="18"/>
      <w:u w:val="none"/>
    </w:rPr>
  </w:style>
  <w:style w:type="character" w:styleId="List">
    <w:name w:val="List"/>
    <w:basedOn w:val="Textbody"/>
    <w:qFormat/>
    <w:rPr>
      <w:rFonts w:ascii="PT Astra Serif" w:hAnsi="PT Astra Serif"/>
    </w:rPr>
  </w:style>
  <w:style w:type="character" w:styleId="9pt3">
    <w:name w:val="Колонтитул + 9 pt;Полужирный"/>
    <w:basedOn w:val="Style9"/>
    <w:link w:val="9pt7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0"/>
      <w:sz w:val="18"/>
      <w:u w:val="none"/>
    </w:rPr>
  </w:style>
  <w:style w:type="character" w:styleId="2105pt">
    <w:name w:val="Подпись к таблице (2) + 10;5 pt"/>
    <w:basedOn w:val="22"/>
    <w:link w:val="2105pt1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0"/>
      <w:sz w:val="21"/>
      <w:u w:val="single"/>
    </w:rPr>
  </w:style>
  <w:style w:type="character" w:styleId="Contents8">
    <w:name w:val="Contents 8"/>
    <w:qFormat/>
    <w:rPr>
      <w:rFonts w:ascii="XO Thames" w:hAnsi="XO Thames"/>
      <w:color w:val="000000"/>
      <w:spacing w:val="0"/>
      <w:sz w:val="28"/>
    </w:rPr>
  </w:style>
  <w:style w:type="character" w:styleId="105pt1">
    <w:name w:val="Колонтитул + 10;5 pt;Полужирный"/>
    <w:basedOn w:val="Style9"/>
    <w:link w:val="105pt4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0"/>
      <w:sz w:val="21"/>
      <w:u w:val="none"/>
    </w:rPr>
  </w:style>
  <w:style w:type="character" w:styleId="93pt">
    <w:name w:val="Основной текст (9) + Интервал 3 pt"/>
    <w:basedOn w:val="9"/>
    <w:link w:val="93pt1"/>
    <w:qFormat/>
    <w:rPr>
      <w:rFonts w:ascii="Times New Roman" w:hAnsi="Times New Roman"/>
      <w:b/>
      <w:color w:val="000000"/>
      <w:spacing w:val="60"/>
      <w:sz w:val="26"/>
    </w:rPr>
  </w:style>
  <w:style w:type="character" w:styleId="313pt">
    <w:name w:val="Основной текст (3) + 13 pt;Не полужирный"/>
    <w:basedOn w:val="36"/>
    <w:link w:val="313pt1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0"/>
      <w:sz w:val="26"/>
      <w:u w:val="none"/>
    </w:rPr>
  </w:style>
  <w:style w:type="character" w:styleId="DefaultParagraphFont">
    <w:name w:val="Default Paragraph Font"/>
    <w:link w:val="DefaultParagraphFont1"/>
    <w:qFormat/>
    <w:rPr>
      <w:rFonts w:ascii="Calibri" w:hAnsi="Calibri"/>
      <w:color w:val="000000"/>
      <w:spacing w:val="0"/>
      <w:sz w:val="22"/>
    </w:rPr>
  </w:style>
  <w:style w:type="character" w:styleId="15">
    <w:name w:val="Заголовок №1"/>
    <w:link w:val="110"/>
    <w:qFormat/>
    <w:rPr>
      <w:rFonts w:ascii="Times New Roman" w:hAnsi="Times New Roman"/>
      <w:b/>
      <w:color w:val="000000"/>
      <w:sz w:val="26"/>
    </w:rPr>
  </w:style>
  <w:style w:type="character" w:styleId="Constantia4pt1pt">
    <w:name w:val="Основной текст + Constantia;4 pt;Интервал 1 pt"/>
    <w:basedOn w:val="41"/>
    <w:link w:val="Constantia4pt1pt1"/>
    <w:qFormat/>
    <w:rPr>
      <w:rFonts w:ascii="Constantia" w:hAnsi="Constantia"/>
      <w:color w:val="000000"/>
      <w:spacing w:val="20"/>
      <w:sz w:val="8"/>
    </w:rPr>
  </w:style>
  <w:style w:type="character" w:styleId="151">
    <w:name w:val="Основной текст (15)"/>
    <w:link w:val="152"/>
    <w:qFormat/>
    <w:rPr>
      <w:rFonts w:ascii="Lucida Sans Unicode" w:hAnsi="Lucida Sans Unicode"/>
      <w:color w:val="000000"/>
      <w:sz w:val="18"/>
    </w:rPr>
  </w:style>
  <w:style w:type="character" w:styleId="105pt2">
    <w:name w:val="Основной текст + 10;5 pt"/>
    <w:basedOn w:val="41"/>
    <w:link w:val="105pt5"/>
    <w:qFormat/>
    <w:rPr>
      <w:rFonts w:ascii="Times New Roman" w:hAnsi="Times New Roman"/>
      <w:color w:val="000000"/>
      <w:spacing w:val="0"/>
      <w:sz w:val="21"/>
    </w:rPr>
  </w:style>
  <w:style w:type="character" w:styleId="Contents3WW">
    <w:name w:val="Contents 3 (WW)"/>
    <w:link w:val="Contents3WW1"/>
    <w:qFormat/>
    <w:rPr>
      <w:rFonts w:ascii="XO Thames" w:hAnsi="XO Thames"/>
      <w:sz w:val="28"/>
    </w:rPr>
  </w:style>
  <w:style w:type="character" w:styleId="52">
    <w:name w:val="Основной текст (5)_"/>
    <w:basedOn w:val="DefaultParagraphFont"/>
    <w:link w:val="54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sz w:val="20"/>
      <w:u w:val="none"/>
    </w:rPr>
  </w:style>
  <w:style w:type="character" w:styleId="Footer">
    <w:name w:val="Footer"/>
    <w:qFormat/>
    <w:rPr/>
  </w:style>
  <w:style w:type="character" w:styleId="Contents5">
    <w:name w:val="Contents 5"/>
    <w:qFormat/>
    <w:rPr>
      <w:rFonts w:ascii="XO Thames" w:hAnsi="XO Thames"/>
      <w:color w:val="000000"/>
      <w:spacing w:val="0"/>
      <w:sz w:val="28"/>
    </w:rPr>
  </w:style>
  <w:style w:type="character" w:styleId="ListParagraph">
    <w:name w:val="List Paragraph"/>
    <w:link w:val="ListParagraph1"/>
    <w:qFormat/>
    <w:rPr>
      <w:rFonts w:ascii="Calibri" w:hAnsi="Calibri"/>
      <w:color w:val="000000"/>
      <w:sz w:val="22"/>
    </w:rPr>
  </w:style>
  <w:style w:type="character" w:styleId="11Exact">
    <w:name w:val="Основной текст (11) Exact"/>
    <w:basedOn w:val="DefaultParagraphFont"/>
    <w:link w:val="11Exact1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spacing w:val="3"/>
      <w:sz w:val="20"/>
      <w:u w:val="none"/>
    </w:rPr>
  </w:style>
  <w:style w:type="character" w:styleId="36">
    <w:name w:val="Основной текст (3)_"/>
    <w:basedOn w:val="DefaultParagraphFont"/>
    <w:link w:val="313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sz w:val="18"/>
      <w:u w:val="none"/>
    </w:rPr>
  </w:style>
  <w:style w:type="character" w:styleId="91">
    <w:name w:val="Основной текст (9) + Курсив"/>
    <w:basedOn w:val="9"/>
    <w:link w:val="94"/>
    <w:qFormat/>
    <w:rPr>
      <w:rFonts w:ascii="Times New Roman" w:hAnsi="Times New Roman"/>
      <w:b/>
      <w:i/>
      <w:color w:val="000000"/>
      <w:spacing w:val="0"/>
      <w:sz w:val="26"/>
    </w:rPr>
  </w:style>
  <w:style w:type="character" w:styleId="InternetlinkWW">
    <w:name w:val="Internet link (WW)"/>
    <w:basedOn w:val="DefaultParagraphFont"/>
    <w:link w:val="InternetlinkWW1"/>
    <w:qFormat/>
    <w:rPr>
      <w:color w:val="0066CC"/>
      <w:u w:val="single"/>
    </w:rPr>
  </w:style>
  <w:style w:type="character" w:styleId="513pt">
    <w:name w:val="Основной текст (5) + 13 pt"/>
    <w:basedOn w:val="52"/>
    <w:link w:val="513pt1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0"/>
      <w:sz w:val="26"/>
      <w:u w:val="none"/>
    </w:rPr>
  </w:style>
  <w:style w:type="character" w:styleId="3105pt">
    <w:name w:val="Основной текст (3) + 10;5 pt;Не полужирный"/>
    <w:basedOn w:val="36"/>
    <w:link w:val="3105pt1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0"/>
      <w:sz w:val="21"/>
      <w:u w:val="none"/>
    </w:rPr>
  </w:style>
  <w:style w:type="character" w:styleId="Style21">
    <w:name w:val="Endnote Reference"/>
    <w:rPr>
      <w:vertAlign w:val="superscript"/>
    </w:rPr>
  </w:style>
  <w:style w:type="character" w:styleId="Style22">
    <w:name w:val="Подпись к картинке"/>
    <w:link w:val="Style41"/>
    <w:qFormat/>
    <w:rPr>
      <w:rFonts w:ascii="Times New Roman" w:hAnsi="Times New Roman"/>
      <w:color w:val="000000"/>
      <w:spacing w:val="3"/>
      <w:sz w:val="22"/>
    </w:rPr>
  </w:style>
  <w:style w:type="character" w:styleId="71">
    <w:name w:val="Основной текст (7)"/>
    <w:basedOn w:val="7"/>
    <w:link w:val="74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0"/>
      <w:sz w:val="18"/>
      <w:u w:val="none"/>
    </w:rPr>
  </w:style>
  <w:style w:type="character" w:styleId="61">
    <w:name w:val="Основной текст (6)"/>
    <w:basedOn w:val="6"/>
    <w:link w:val="64"/>
    <w:qFormat/>
    <w:rPr>
      <w:rFonts w:ascii="Times New Roman" w:hAnsi="Times New Roman"/>
      <w:b w:val="false"/>
      <w:i/>
      <w:caps w:val="false"/>
      <w:smallCaps w:val="false"/>
      <w:strike w:val="false"/>
      <w:dstrike w:val="false"/>
      <w:color w:val="000000"/>
      <w:spacing w:val="0"/>
      <w:sz w:val="21"/>
      <w:u w:val="none"/>
    </w:rPr>
  </w:style>
  <w:style w:type="character" w:styleId="5105pt">
    <w:name w:val="Основной текст (5) + 10;5 pt;Курсив"/>
    <w:basedOn w:val="52"/>
    <w:link w:val="5105pt1"/>
    <w:qFormat/>
    <w:rPr>
      <w:rFonts w:ascii="Times New Roman" w:hAnsi="Times New Roman"/>
      <w:b w:val="false"/>
      <w:i/>
      <w:caps w:val="false"/>
      <w:smallCaps w:val="false"/>
      <w:strike w:val="false"/>
      <w:dstrike w:val="false"/>
      <w:color w:val="000000"/>
      <w:spacing w:val="0"/>
      <w:sz w:val="21"/>
      <w:u w:val="none"/>
    </w:rPr>
  </w:style>
  <w:style w:type="paragraph" w:styleId="Style23">
    <w:name w:val="Заголовок"/>
    <w:basedOn w:val="Normal"/>
    <w:next w:val="Style24"/>
    <w:link w:val="Style13"/>
    <w:qFormat/>
    <w:pPr>
      <w:keepNext w:val="true"/>
      <w:widowControl w:val="false"/>
      <w:spacing w:before="240" w:after="120"/>
    </w:pPr>
    <w:rPr>
      <w:rFonts w:ascii="PT Astra Serif" w:hAnsi="PT Astra Serif"/>
      <w:sz w:val="28"/>
    </w:rPr>
  </w:style>
  <w:style w:type="paragraph" w:styleId="Style24">
    <w:name w:val="Body Text"/>
    <w:basedOn w:val="Normal"/>
    <w:pPr>
      <w:widowControl w:val="false"/>
      <w:spacing w:lineRule="auto" w:line="276" w:before="0" w:after="140"/>
    </w:pPr>
    <w:rPr/>
  </w:style>
  <w:style w:type="paragraph" w:styleId="Style25">
    <w:name w:val="List"/>
    <w:basedOn w:val="Style24"/>
    <w:pPr/>
    <w:rPr>
      <w:rFonts w:ascii="PT Astra Serif" w:hAnsi="PT Astra Serif"/>
    </w:rPr>
  </w:style>
  <w:style w:type="paragraph" w:styleId="Style26">
    <w:name w:val="Caption"/>
    <w:basedOn w:val="Normal"/>
    <w:qFormat/>
    <w:pPr>
      <w:widowControl w:val="false"/>
      <w:spacing w:before="120" w:after="120"/>
    </w:pPr>
    <w:rPr>
      <w:rFonts w:ascii="PT Astra Serif" w:hAnsi="PT Astra Serif"/>
      <w:i/>
      <w:sz w:val="24"/>
    </w:rPr>
  </w:style>
  <w:style w:type="paragraph" w:styleId="Style27">
    <w:name w:val="Указатель"/>
    <w:basedOn w:val="Normal"/>
    <w:link w:val="Style20"/>
    <w:qFormat/>
    <w:pPr/>
    <w:rPr>
      <w:rFonts w:ascii="PT Astra Serif" w:hAnsi="PT Astra Serif"/>
    </w:rPr>
  </w:style>
  <w:style w:type="paragraph" w:styleId="9pt4">
    <w:name w:val="Основной текст + 9 pt;Полужирный;Курсив"/>
    <w:basedOn w:val="44"/>
    <w:link w:val="9pt"/>
    <w:qFormat/>
    <w:pPr/>
    <w:rPr>
      <w:rFonts w:ascii="Times New Roman" w:hAnsi="Times New Roman"/>
      <w:b/>
      <w:i/>
      <w:color w:val="000000"/>
      <w:spacing w:val="0"/>
      <w:sz w:val="18"/>
      <w:shd w:fill="FFFFFF" w:val="clear"/>
    </w:rPr>
  </w:style>
  <w:style w:type="paragraph" w:styleId="Style28">
    <w:name w:val="Title"/>
    <w:next w:val="Normal"/>
    <w:qFormat/>
    <w:pPr>
      <w:widowControl/>
      <w:kinsoku w:val="true"/>
      <w:overflowPunct w:val="true"/>
      <w:autoSpaceDE w:val="true"/>
      <w:bidi w:val="0"/>
      <w:spacing w:lineRule="auto" w:line="276" w:before="567" w:after="567"/>
      <w:ind w:left="0" w:right="0" w:hanging="0"/>
      <w:jc w:val="center"/>
    </w:pPr>
    <w:rPr>
      <w:rFonts w:ascii="XO Thames" w:hAnsi="XO Thames" w:eastAsia="Tahoma" w:cs="Noto Sans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28">
    <w:name w:val="TOC 2"/>
    <w:next w:val="Normal"/>
    <w:pPr>
      <w:widowControl/>
      <w:kinsoku w:val="true"/>
      <w:overflowPunct w:val="true"/>
      <w:autoSpaceDE w:val="true"/>
      <w:bidi w:val="0"/>
      <w:spacing w:lineRule="auto" w:line="276" w:before="0" w:after="200"/>
      <w:ind w:left="2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37">
    <w:name w:val="Подпись к таблице (3)"/>
    <w:basedOn w:val="311"/>
    <w:link w:val="31"/>
    <w:qFormat/>
    <w:pPr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0"/>
      <w:sz w:val="18"/>
      <w:u w:val="none"/>
    </w:rPr>
  </w:style>
  <w:style w:type="paragraph" w:styleId="Style29">
    <w:name w:val="Колонтитул_"/>
    <w:basedOn w:val="DefaultParagraphFont1"/>
    <w:link w:val="Style9"/>
    <w:qFormat/>
    <w:pPr/>
    <w:rPr>
      <w:rFonts w:ascii="Times New Roman" w:hAnsi="Times New Roman"/>
      <w:b w:val="false"/>
      <w:i w:val="false"/>
      <w:caps w:val="false"/>
      <w:smallCaps w:val="false"/>
      <w:strike w:val="false"/>
      <w:dstrike w:val="false"/>
      <w:sz w:val="22"/>
      <w:u w:val="none"/>
    </w:rPr>
  </w:style>
  <w:style w:type="paragraph" w:styleId="44">
    <w:name w:val="Основной текст4"/>
    <w:basedOn w:val="Normal"/>
    <w:link w:val="41"/>
    <w:qFormat/>
    <w:pPr>
      <w:widowControl w:val="false"/>
      <w:spacing w:lineRule="exact" w:line="269" w:before="60" w:after="0"/>
      <w:jc w:val="both"/>
    </w:pPr>
    <w:rPr>
      <w:rFonts w:ascii="Times New Roman" w:hAnsi="Times New Roman"/>
      <w:color w:val="000000"/>
      <w:sz w:val="26"/>
    </w:rPr>
  </w:style>
  <w:style w:type="paragraph" w:styleId="45">
    <w:name w:val="TOC 4"/>
    <w:next w:val="Normal"/>
    <w:pPr>
      <w:widowControl/>
      <w:kinsoku w:val="true"/>
      <w:overflowPunct w:val="true"/>
      <w:autoSpaceDE w:val="true"/>
      <w:bidi w:val="0"/>
      <w:spacing w:lineRule="auto" w:line="276" w:before="0" w:after="200"/>
      <w:ind w:left="6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5pt2">
    <w:name w:val="Основной текст + 5 pt;Полужирный"/>
    <w:basedOn w:val="44"/>
    <w:link w:val="5pt"/>
    <w:qFormat/>
    <w:pPr/>
    <w:rPr>
      <w:rFonts w:ascii="Times New Roman" w:hAnsi="Times New Roman"/>
      <w:b/>
      <w:color w:val="000000"/>
      <w:spacing w:val="0"/>
      <w:sz w:val="10"/>
      <w:shd w:fill="FFFFFF" w:val="clear"/>
    </w:rPr>
  </w:style>
  <w:style w:type="paragraph" w:styleId="62">
    <w:name w:val="Основной текст (6)_"/>
    <w:basedOn w:val="DefaultParagraphFont1"/>
    <w:link w:val="6"/>
    <w:qFormat/>
    <w:pPr/>
    <w:rPr>
      <w:rFonts w:ascii="Times New Roman" w:hAnsi="Times New Roman"/>
      <w:b w:val="false"/>
      <w:i/>
      <w:caps w:val="false"/>
      <w:smallCaps w:val="false"/>
      <w:strike w:val="false"/>
      <w:dstrike w:val="false"/>
      <w:sz w:val="21"/>
      <w:u w:val="none"/>
    </w:rPr>
  </w:style>
  <w:style w:type="paragraph" w:styleId="53">
    <w:name w:val="Основной текст (5)"/>
    <w:basedOn w:val="54"/>
    <w:link w:val="51"/>
    <w:qFormat/>
    <w:pPr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0"/>
      <w:sz w:val="20"/>
      <w:u w:val="none"/>
    </w:rPr>
  </w:style>
  <w:style w:type="paragraph" w:styleId="Style30">
    <w:name w:val="Содержимое врезки"/>
    <w:basedOn w:val="Normal"/>
    <w:qFormat/>
    <w:pPr/>
    <w:rPr/>
  </w:style>
  <w:style w:type="paragraph" w:styleId="63">
    <w:name w:val="TOC 6"/>
    <w:next w:val="Normal"/>
    <w:pPr>
      <w:widowControl/>
      <w:kinsoku w:val="true"/>
      <w:overflowPunct w:val="true"/>
      <w:autoSpaceDE w:val="true"/>
      <w:bidi w:val="0"/>
      <w:spacing w:lineRule="auto" w:line="276" w:before="0" w:after="200"/>
      <w:ind w:left="10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29">
    <w:name w:val="Основной текст (2)"/>
    <w:basedOn w:val="212"/>
    <w:link w:val="21"/>
    <w:qFormat/>
    <w:pPr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0"/>
      <w:sz w:val="23"/>
      <w:u w:val="none"/>
    </w:rPr>
  </w:style>
  <w:style w:type="paragraph" w:styleId="72">
    <w:name w:val="TOC 7"/>
    <w:next w:val="Normal"/>
    <w:pPr>
      <w:widowControl/>
      <w:kinsoku w:val="true"/>
      <w:overflowPunct w:val="true"/>
      <w:autoSpaceDE w:val="true"/>
      <w:bidi w:val="0"/>
      <w:spacing w:lineRule="auto" w:line="276" w:before="0" w:after="200"/>
      <w:ind w:left="12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8">
    <w:name w:val="Основной текст1"/>
    <w:basedOn w:val="44"/>
    <w:link w:val="11"/>
    <w:qFormat/>
    <w:pPr/>
    <w:rPr>
      <w:rFonts w:ascii="Times New Roman" w:hAnsi="Times New Roman"/>
      <w:color w:val="000000"/>
      <w:spacing w:val="0"/>
      <w:sz w:val="26"/>
      <w:shd w:fill="FFFFFF" w:val="clear"/>
    </w:rPr>
  </w:style>
  <w:style w:type="paragraph" w:styleId="Style31">
    <w:name w:val="Subtitle"/>
    <w:next w:val="Normal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210">
    <w:name w:val="Подпись к таблице (2)_"/>
    <w:basedOn w:val="DefaultParagraphFont1"/>
    <w:link w:val="22"/>
    <w:qFormat/>
    <w:pPr/>
    <w:rPr>
      <w:rFonts w:ascii="Times New Roman" w:hAnsi="Times New Roman"/>
      <w:b w:val="false"/>
      <w:i w:val="false"/>
      <w:caps w:val="false"/>
      <w:smallCaps w:val="false"/>
      <w:strike w:val="false"/>
      <w:dstrike w:val="false"/>
      <w:sz w:val="26"/>
      <w:u w:val="none"/>
    </w:rPr>
  </w:style>
  <w:style w:type="paragraph" w:styleId="92">
    <w:name w:val="Основной текст (9)"/>
    <w:basedOn w:val="Normal"/>
    <w:link w:val="9"/>
    <w:qFormat/>
    <w:pPr>
      <w:widowControl w:val="false"/>
      <w:spacing w:lineRule="exact" w:line="322" w:before="420" w:after="300"/>
    </w:pPr>
    <w:rPr>
      <w:rFonts w:ascii="Times New Roman" w:hAnsi="Times New Roman"/>
      <w:b/>
      <w:color w:val="000000"/>
      <w:sz w:val="26"/>
    </w:rPr>
  </w:style>
  <w:style w:type="paragraph" w:styleId="Style32">
    <w:name w:val="Символ концевой сноски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ind w:left="0" w:right="0" w:hanging="0"/>
      <w:jc w:val="lef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211">
    <w:name w:val="Сноска (2)"/>
    <w:basedOn w:val="213"/>
    <w:link w:val="23"/>
    <w:qFormat/>
    <w:pPr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0"/>
      <w:sz w:val="18"/>
      <w:u w:val="none"/>
    </w:rPr>
  </w:style>
  <w:style w:type="paragraph" w:styleId="73">
    <w:name w:val="Основной текст (7)_"/>
    <w:basedOn w:val="DefaultParagraphFont1"/>
    <w:link w:val="7"/>
    <w:qFormat/>
    <w:pPr/>
    <w:rPr>
      <w:rFonts w:ascii="Times New Roman" w:hAnsi="Times New Roman"/>
      <w:b w:val="false"/>
      <w:i w:val="false"/>
      <w:caps w:val="false"/>
      <w:smallCaps w:val="false"/>
      <w:strike w:val="false"/>
      <w:dstrike w:val="false"/>
      <w:sz w:val="18"/>
      <w:u w:val="none"/>
    </w:rPr>
  </w:style>
  <w:style w:type="paragraph" w:styleId="Contents7WW1">
    <w:name w:val="Contents 7 (WW)"/>
    <w:link w:val="Contents7WW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WW1">
    <w:name w:val="Endnote (WW)"/>
    <w:link w:val="EndnoteWW"/>
    <w:qFormat/>
    <w:pPr>
      <w:widowControl/>
      <w:kinsoku w:val="true"/>
      <w:overflowPunct w:val="true"/>
      <w:autoSpaceDE w:val="true"/>
      <w:bidi w:val="0"/>
      <w:spacing w:lineRule="auto" w:line="276" w:before="0" w:after="200"/>
      <w:ind w:left="0" w:right="0" w:firstLine="851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113">
    <w:name w:val="Основной текст (11)_"/>
    <w:basedOn w:val="DefaultParagraphFont1"/>
    <w:link w:val="111"/>
    <w:qFormat/>
    <w:pPr/>
    <w:rPr>
      <w:rFonts w:ascii="Times New Roman" w:hAnsi="Times New Roman"/>
      <w:b w:val="false"/>
      <w:i w:val="false"/>
      <w:caps w:val="false"/>
      <w:smallCaps w:val="false"/>
      <w:strike w:val="false"/>
      <w:dstrike w:val="false"/>
      <w:sz w:val="21"/>
      <w:u w:val="none"/>
    </w:rPr>
  </w:style>
  <w:style w:type="paragraph" w:styleId="102">
    <w:name w:val="Основной текст (10) + Не курсив"/>
    <w:basedOn w:val="103"/>
    <w:link w:val="10"/>
    <w:qFormat/>
    <w:pPr/>
    <w:rPr>
      <w:rFonts w:ascii="Times New Roman" w:hAnsi="Times New Roman"/>
      <w:i/>
      <w:color w:val="000000"/>
      <w:spacing w:val="0"/>
      <w:sz w:val="26"/>
      <w:shd w:fill="FFFFFF" w:val="clear"/>
    </w:rPr>
  </w:style>
  <w:style w:type="paragraph" w:styleId="38">
    <w:name w:val="Основной текст3"/>
    <w:basedOn w:val="44"/>
    <w:link w:val="32"/>
    <w:qFormat/>
    <w:pPr/>
    <w:rPr>
      <w:rFonts w:ascii="Times New Roman" w:hAnsi="Times New Roman"/>
      <w:color w:val="000000"/>
      <w:spacing w:val="0"/>
      <w:sz w:val="26"/>
      <w:shd w:fill="FFFFFF" w:val="clear"/>
    </w:rPr>
  </w:style>
  <w:style w:type="paragraph" w:styleId="5pt3">
    <w:name w:val="Основной текст + 5 pt;Курсив"/>
    <w:basedOn w:val="44"/>
    <w:link w:val="5pt1"/>
    <w:qFormat/>
    <w:pPr/>
    <w:rPr>
      <w:rFonts w:ascii="Times New Roman" w:hAnsi="Times New Roman"/>
      <w:i/>
      <w:color w:val="000000"/>
      <w:spacing w:val="0"/>
      <w:sz w:val="10"/>
      <w:shd w:fill="FFFFFF" w:val="clear"/>
    </w:rPr>
  </w:style>
  <w:style w:type="paragraph" w:styleId="114">
    <w:name w:val="Основной текст (11)"/>
    <w:basedOn w:val="113"/>
    <w:link w:val="112"/>
    <w:qFormat/>
    <w:pPr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0"/>
      <w:sz w:val="21"/>
      <w:u w:val="single"/>
    </w:rPr>
  </w:style>
  <w:style w:type="paragraph" w:styleId="9pt5">
    <w:name w:val="Колонтитул + 9 pt;Курсив"/>
    <w:basedOn w:val="Style29"/>
    <w:link w:val="9pt1"/>
    <w:qFormat/>
    <w:pPr/>
    <w:rPr>
      <w:rFonts w:ascii="Times New Roman" w:hAnsi="Times New Roman"/>
      <w:b w:val="false"/>
      <w:i/>
      <w:caps w:val="false"/>
      <w:smallCaps w:val="false"/>
      <w:strike w:val="false"/>
      <w:dstrike w:val="false"/>
      <w:color w:val="000000"/>
      <w:spacing w:val="0"/>
      <w:sz w:val="18"/>
      <w:u w:val="none"/>
    </w:rPr>
  </w:style>
  <w:style w:type="paragraph" w:styleId="Style33">
    <w:name w:val="Колонтитул"/>
    <w:link w:val="Style12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10ptExact1">
    <w:name w:val="Основной текст (11) + Интервал 0 pt Exact"/>
    <w:basedOn w:val="113"/>
    <w:link w:val="110ptExact"/>
    <w:qFormat/>
    <w:pPr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4"/>
      <w:sz w:val="20"/>
      <w:u w:val="none"/>
    </w:rPr>
  </w:style>
  <w:style w:type="paragraph" w:styleId="Contents5WW1">
    <w:name w:val="Contents 5 (WW)"/>
    <w:link w:val="Contents5WW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andara9pt1">
    <w:name w:val="Основной текст + Candara;9 pt"/>
    <w:basedOn w:val="44"/>
    <w:link w:val="Candara9pt"/>
    <w:qFormat/>
    <w:pPr/>
    <w:rPr>
      <w:rFonts w:ascii="Candara" w:hAnsi="Candara"/>
      <w:color w:val="000000"/>
      <w:spacing w:val="0"/>
      <w:sz w:val="18"/>
      <w:shd w:fill="FFFFFF" w:val="clear"/>
    </w:rPr>
  </w:style>
  <w:style w:type="paragraph" w:styleId="4pt1">
    <w:name w:val="Основной текст + 4 pt;Полужирный"/>
    <w:basedOn w:val="44"/>
    <w:link w:val="4pt"/>
    <w:qFormat/>
    <w:pPr/>
    <w:rPr>
      <w:rFonts w:ascii="Times New Roman" w:hAnsi="Times New Roman"/>
      <w:b/>
      <w:color w:val="000000"/>
      <w:spacing w:val="0"/>
      <w:sz w:val="8"/>
      <w:shd w:fill="FFFFFF" w:val="clear"/>
    </w:rPr>
  </w:style>
  <w:style w:type="paragraph" w:styleId="212">
    <w:name w:val="Основной текст (2)_"/>
    <w:basedOn w:val="DefaultParagraphFont1"/>
    <w:link w:val="24"/>
    <w:qFormat/>
    <w:pPr/>
    <w:rPr>
      <w:rFonts w:ascii="Times New Roman" w:hAnsi="Times New Roman"/>
      <w:b/>
      <w:i w:val="false"/>
      <w:caps w:val="false"/>
      <w:smallCaps w:val="false"/>
      <w:strike w:val="false"/>
      <w:dstrike w:val="false"/>
      <w:sz w:val="23"/>
      <w:u w:val="none"/>
    </w:rPr>
  </w:style>
  <w:style w:type="paragraph" w:styleId="161">
    <w:name w:val="Основной текст (16)"/>
    <w:basedOn w:val="Normal"/>
    <w:link w:val="16"/>
    <w:qFormat/>
    <w:pPr>
      <w:widowControl w:val="false"/>
      <w:spacing w:lineRule="atLeast" w:line="0"/>
    </w:pPr>
    <w:rPr>
      <w:rFonts w:ascii="Consolas" w:hAnsi="Consolas"/>
      <w:color w:val="000000"/>
      <w:sz w:val="19"/>
    </w:rPr>
  </w:style>
  <w:style w:type="paragraph" w:styleId="Exact1">
    <w:name w:val="Основной текст Exact"/>
    <w:basedOn w:val="DefaultParagraphFont1"/>
    <w:link w:val="Exact"/>
    <w:qFormat/>
    <w:pPr/>
    <w:rPr>
      <w:rFonts w:ascii="Times New Roman" w:hAnsi="Times New Roman"/>
      <w:b w:val="false"/>
      <w:i w:val="false"/>
      <w:caps w:val="false"/>
      <w:smallCaps w:val="false"/>
      <w:strike w:val="false"/>
      <w:dstrike w:val="false"/>
      <w:spacing w:val="3"/>
      <w:u w:val="none"/>
    </w:rPr>
  </w:style>
  <w:style w:type="paragraph" w:styleId="13pt2">
    <w:name w:val="Заголовок №1 + Интервал 3 pt"/>
    <w:basedOn w:val="110"/>
    <w:link w:val="13pt"/>
    <w:qFormat/>
    <w:pPr/>
    <w:rPr>
      <w:rFonts w:ascii="Times New Roman" w:hAnsi="Times New Roman"/>
      <w:b/>
      <w:color w:val="000000"/>
      <w:spacing w:val="70"/>
      <w:sz w:val="26"/>
      <w:shd w:fill="FFFFFF" w:val="clear"/>
    </w:rPr>
  </w:style>
  <w:style w:type="paragraph" w:styleId="Style34">
    <w:name w:val="Символ сноски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ind w:left="0" w:right="0" w:hanging="0"/>
      <w:jc w:val="lef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103">
    <w:name w:val="Основной текст (10)"/>
    <w:basedOn w:val="Normal"/>
    <w:link w:val="101"/>
    <w:qFormat/>
    <w:pPr>
      <w:widowControl w:val="false"/>
      <w:spacing w:lineRule="exact" w:line="322"/>
      <w:ind w:left="0" w:right="0" w:firstLine="700"/>
      <w:jc w:val="both"/>
    </w:pPr>
    <w:rPr>
      <w:rFonts w:ascii="Times New Roman" w:hAnsi="Times New Roman"/>
      <w:i/>
      <w:color w:val="000000"/>
      <w:sz w:val="26"/>
    </w:rPr>
  </w:style>
  <w:style w:type="paragraph" w:styleId="82">
    <w:name w:val="Основной текст (8)"/>
    <w:basedOn w:val="83"/>
    <w:link w:val="8"/>
    <w:qFormat/>
    <w:pPr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0"/>
      <w:sz w:val="26"/>
      <w:u w:val="none"/>
    </w:rPr>
  </w:style>
  <w:style w:type="paragraph" w:styleId="213">
    <w:name w:val="Сноска (2)_"/>
    <w:basedOn w:val="DefaultParagraphFont1"/>
    <w:link w:val="25"/>
    <w:qFormat/>
    <w:pPr/>
    <w:rPr>
      <w:rFonts w:ascii="Times New Roman" w:hAnsi="Times New Roman"/>
      <w:b/>
      <w:i w:val="false"/>
      <w:caps w:val="false"/>
      <w:smallCaps w:val="false"/>
      <w:strike w:val="false"/>
      <w:dstrike w:val="false"/>
      <w:sz w:val="18"/>
      <w:u w:val="none"/>
    </w:rPr>
  </w:style>
  <w:style w:type="paragraph" w:styleId="39">
    <w:name w:val="Сноска (3)"/>
    <w:basedOn w:val="Normal"/>
    <w:link w:val="33"/>
    <w:qFormat/>
    <w:pPr>
      <w:widowControl w:val="false"/>
      <w:spacing w:lineRule="atLeast" w:line="0" w:before="0" w:after="300"/>
      <w:jc w:val="center"/>
    </w:pPr>
    <w:rPr>
      <w:rFonts w:ascii="Times New Roman" w:hAnsi="Times New Roman"/>
      <w:color w:val="000000"/>
      <w:sz w:val="26"/>
    </w:rPr>
  </w:style>
  <w:style w:type="paragraph" w:styleId="45pt1">
    <w:name w:val="Основной текст + 4;5 pt"/>
    <w:basedOn w:val="44"/>
    <w:link w:val="45pt"/>
    <w:qFormat/>
    <w:pPr/>
    <w:rPr>
      <w:rFonts w:ascii="Times New Roman" w:hAnsi="Times New Roman"/>
      <w:color w:val="000000"/>
      <w:spacing w:val="0"/>
      <w:sz w:val="9"/>
      <w:shd w:fill="FFFFFF" w:val="clear"/>
    </w:rPr>
  </w:style>
  <w:style w:type="paragraph" w:styleId="FootnoteWW1">
    <w:name w:val="Footnote (WW)"/>
    <w:basedOn w:val="Style39"/>
    <w:link w:val="FootnoteWW"/>
    <w:qFormat/>
    <w:pPr>
      <w:widowControl/>
      <w:bidi w:val="0"/>
      <w:spacing w:lineRule="auto" w:line="276" w:before="0" w:after="200"/>
      <w:ind w:left="0" w:right="0" w:firstLine="851"/>
      <w:jc w:val="both"/>
    </w:pPr>
    <w:rPr>
      <w:rFonts w:ascii="XO Thames" w:hAnsi="XO Thames"/>
      <w:color w:val="000000"/>
      <w:spacing w:val="0"/>
      <w:sz w:val="22"/>
    </w:rPr>
  </w:style>
  <w:style w:type="paragraph" w:styleId="BalloonText1">
    <w:name w:val="Balloon Text"/>
    <w:basedOn w:val="Normal"/>
    <w:link w:val="BalloonText"/>
    <w:qFormat/>
    <w:pPr/>
    <w:rPr>
      <w:rFonts w:ascii="Tahoma" w:hAnsi="Tahoma"/>
      <w:sz w:val="16"/>
    </w:rPr>
  </w:style>
  <w:style w:type="paragraph" w:styleId="131">
    <w:name w:val="Основной текст (13)"/>
    <w:basedOn w:val="Normal"/>
    <w:link w:val="13"/>
    <w:qFormat/>
    <w:pPr>
      <w:widowControl w:val="false"/>
      <w:spacing w:lineRule="exact" w:line="254" w:before="300" w:after="0"/>
      <w:jc w:val="center"/>
    </w:pPr>
    <w:rPr>
      <w:rFonts w:ascii="Times New Roman" w:hAnsi="Times New Roman"/>
      <w:b/>
      <w:color w:val="000000"/>
      <w:sz w:val="20"/>
    </w:rPr>
  </w:style>
  <w:style w:type="paragraph" w:styleId="171">
    <w:name w:val="Основной текст (17)"/>
    <w:basedOn w:val="Normal"/>
    <w:link w:val="17"/>
    <w:qFormat/>
    <w:pPr>
      <w:widowControl w:val="false"/>
      <w:spacing w:lineRule="atLeast" w:line="0"/>
    </w:pPr>
    <w:rPr>
      <w:rFonts w:ascii="Times New Roman" w:hAnsi="Times New Roman"/>
      <w:color w:val="000000"/>
      <w:sz w:val="12"/>
    </w:rPr>
  </w:style>
  <w:style w:type="paragraph" w:styleId="Constantia55pt1">
    <w:name w:val="Колонтитул + Constantia;5;5 pt"/>
    <w:basedOn w:val="Style29"/>
    <w:link w:val="Constantia55pt"/>
    <w:qFormat/>
    <w:pPr/>
    <w:rPr>
      <w:rFonts w:ascii="Constantia" w:hAnsi="Constantia"/>
      <w:b w:val="false"/>
      <w:i w:val="false"/>
      <w:caps w:val="false"/>
      <w:smallCaps w:val="false"/>
      <w:strike w:val="false"/>
      <w:dstrike w:val="false"/>
      <w:color w:val="000000"/>
      <w:spacing w:val="0"/>
      <w:sz w:val="11"/>
      <w:u w:val="none"/>
    </w:rPr>
  </w:style>
  <w:style w:type="paragraph" w:styleId="4pt1501">
    <w:name w:val="Основной текст + 4 pt;Курсив;Масштаб 150%"/>
    <w:basedOn w:val="44"/>
    <w:link w:val="4pt150"/>
    <w:qFormat/>
    <w:pPr/>
    <w:rPr>
      <w:rFonts w:ascii="Times New Roman" w:hAnsi="Times New Roman"/>
      <w:i/>
      <w:color w:val="000000"/>
      <w:spacing w:val="0"/>
      <w:sz w:val="8"/>
      <w:shd w:fill="FFFFFF" w:val="clear"/>
    </w:rPr>
  </w:style>
  <w:style w:type="paragraph" w:styleId="Style35">
    <w:name w:val="Header"/>
    <w:pPr>
      <w:widowControl w:val="false"/>
      <w:kinsoku w:val="true"/>
      <w:overflowPunct w:val="true"/>
      <w:autoSpaceDE w:val="true"/>
      <w:bidi w:val="0"/>
      <w:spacing w:lineRule="auto" w:line="240" w:before="0" w:after="0"/>
      <w:ind w:left="0" w:right="0" w:hanging="0"/>
      <w:jc w:val="lef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9pt6">
    <w:name w:val="Основной текст + 9 pt;Полужирный"/>
    <w:basedOn w:val="44"/>
    <w:link w:val="9pt2"/>
    <w:qFormat/>
    <w:pPr/>
    <w:rPr>
      <w:rFonts w:ascii="Times New Roman" w:hAnsi="Times New Roman"/>
      <w:b/>
      <w:color w:val="000000"/>
      <w:spacing w:val="0"/>
      <w:sz w:val="18"/>
      <w:shd w:fill="FFFFFF" w:val="clear"/>
    </w:rPr>
  </w:style>
  <w:style w:type="paragraph" w:styleId="23pt1">
    <w:name w:val="Основной текст (2) + Интервал 3 pt"/>
    <w:basedOn w:val="212"/>
    <w:link w:val="23pt"/>
    <w:qFormat/>
    <w:pPr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60"/>
      <w:sz w:val="23"/>
      <w:u w:val="none"/>
    </w:rPr>
  </w:style>
  <w:style w:type="paragraph" w:styleId="214">
    <w:name w:val="Подпись к таблице (2)"/>
    <w:basedOn w:val="210"/>
    <w:link w:val="26"/>
    <w:qFormat/>
    <w:pPr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0"/>
      <w:sz w:val="26"/>
      <w:u w:val="single"/>
    </w:rPr>
  </w:style>
  <w:style w:type="paragraph" w:styleId="Style36">
    <w:name w:val="Основной текст + Курсив"/>
    <w:basedOn w:val="44"/>
    <w:link w:val="Style15"/>
    <w:qFormat/>
    <w:pPr/>
    <w:rPr>
      <w:rFonts w:ascii="Times New Roman" w:hAnsi="Times New Roman"/>
      <w:i/>
      <w:color w:val="000000"/>
      <w:spacing w:val="0"/>
      <w:sz w:val="26"/>
      <w:shd w:fill="FFFFFF" w:val="clear"/>
    </w:rPr>
  </w:style>
  <w:style w:type="paragraph" w:styleId="215">
    <w:name w:val="Основной текст2"/>
    <w:basedOn w:val="44"/>
    <w:link w:val="27"/>
    <w:qFormat/>
    <w:pPr/>
    <w:rPr>
      <w:rFonts w:ascii="Times New Roman" w:hAnsi="Times New Roman"/>
      <w:color w:val="000000"/>
      <w:spacing w:val="0"/>
      <w:sz w:val="26"/>
      <w:u w:val="single"/>
      <w:shd w:fill="FFFFFF" w:val="clear"/>
    </w:rPr>
  </w:style>
  <w:style w:type="paragraph" w:styleId="310">
    <w:name w:val="TOC 3"/>
    <w:next w:val="Normal"/>
    <w:pPr>
      <w:widowControl/>
      <w:kinsoku w:val="true"/>
      <w:overflowPunct w:val="true"/>
      <w:autoSpaceDE w:val="true"/>
      <w:bidi w:val="0"/>
      <w:spacing w:lineRule="auto" w:line="276" w:before="0" w:after="200"/>
      <w:ind w:left="4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46">
    <w:name w:val="Основной текст (4)_"/>
    <w:basedOn w:val="DefaultParagraphFont1"/>
    <w:link w:val="42"/>
    <w:qFormat/>
    <w:pPr/>
    <w:rPr>
      <w:rFonts w:ascii="Times New Roman" w:hAnsi="Times New Roman"/>
      <w:b w:val="false"/>
      <w:i/>
      <w:caps w:val="false"/>
      <w:smallCaps w:val="false"/>
      <w:strike w:val="false"/>
      <w:dstrike w:val="false"/>
      <w:sz w:val="19"/>
      <w:u w:val="none"/>
    </w:rPr>
  </w:style>
  <w:style w:type="paragraph" w:styleId="311">
    <w:name w:val="Подпись к таблице (3)_"/>
    <w:basedOn w:val="DefaultParagraphFont1"/>
    <w:link w:val="34"/>
    <w:qFormat/>
    <w:pPr/>
    <w:rPr>
      <w:rFonts w:ascii="Times New Roman" w:hAnsi="Times New Roman"/>
      <w:b/>
      <w:i w:val="false"/>
      <w:caps w:val="false"/>
      <w:smallCaps w:val="false"/>
      <w:strike w:val="false"/>
      <w:dstrike w:val="false"/>
      <w:sz w:val="18"/>
      <w:u w:val="none"/>
    </w:rPr>
  </w:style>
  <w:style w:type="paragraph" w:styleId="Contents9WW1">
    <w:name w:val="Contents 9 (WW)"/>
    <w:link w:val="Contents9WW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FootnoteSymbol">
    <w:name w:val="Footnote Symbol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ind w:left="0" w:right="0" w:hanging="0"/>
      <w:jc w:val="lef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vertAlign w:val="superscript"/>
      <w:lang w:val="ru-RU" w:eastAsia="zh-CN" w:bidi="hi-IN"/>
    </w:rPr>
  </w:style>
  <w:style w:type="paragraph" w:styleId="Style37">
    <w:name w:val="Подпись к таблице"/>
    <w:basedOn w:val="Style38"/>
    <w:link w:val="Style17"/>
    <w:qFormat/>
    <w:pPr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0"/>
      <w:sz w:val="21"/>
      <w:u w:val="none"/>
    </w:rPr>
  </w:style>
  <w:style w:type="paragraph" w:styleId="45pt0pt1">
    <w:name w:val="Основной текст + 4;5 pt;Интервал 0 pt"/>
    <w:basedOn w:val="44"/>
    <w:link w:val="45pt0pt"/>
    <w:qFormat/>
    <w:pPr/>
    <w:rPr>
      <w:rFonts w:ascii="Times New Roman" w:hAnsi="Times New Roman"/>
      <w:color w:val="000000"/>
      <w:spacing w:val="10"/>
      <w:sz w:val="9"/>
      <w:shd w:fill="FFFFFF" w:val="clear"/>
    </w:rPr>
  </w:style>
  <w:style w:type="paragraph" w:styleId="Contents2WW1">
    <w:name w:val="Contents 2 (WW)"/>
    <w:link w:val="Contents2WW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55pt1">
    <w:name w:val="Основной текст + 5;5 pt;Полужирный"/>
    <w:basedOn w:val="44"/>
    <w:link w:val="55pt"/>
    <w:qFormat/>
    <w:pPr/>
    <w:rPr>
      <w:rFonts w:ascii="Times New Roman" w:hAnsi="Times New Roman"/>
      <w:b/>
      <w:color w:val="000000"/>
      <w:spacing w:val="0"/>
      <w:sz w:val="11"/>
      <w:shd w:fill="FFFFFF" w:val="clear"/>
    </w:rPr>
  </w:style>
  <w:style w:type="paragraph" w:styleId="Style38">
    <w:name w:val="Подпись к таблице_"/>
    <w:basedOn w:val="DefaultParagraphFont1"/>
    <w:link w:val="Style18"/>
    <w:qFormat/>
    <w:pPr/>
    <w:rPr>
      <w:rFonts w:ascii="Times New Roman" w:hAnsi="Times New Roman"/>
      <w:b w:val="false"/>
      <w:i w:val="false"/>
      <w:caps w:val="false"/>
      <w:smallCaps w:val="false"/>
      <w:strike w:val="false"/>
      <w:dstrike w:val="false"/>
      <w:sz w:val="21"/>
      <w:u w:val="none"/>
    </w:rPr>
  </w:style>
  <w:style w:type="paragraph" w:styleId="Style39">
    <w:name w:val="Сноска_"/>
    <w:basedOn w:val="DefaultParagraphFont1"/>
    <w:link w:val="Style19"/>
    <w:qFormat/>
    <w:pPr/>
    <w:rPr>
      <w:rFonts w:ascii="Times New Roman" w:hAnsi="Times New Roman"/>
      <w:b w:val="false"/>
      <w:i w:val="false"/>
      <w:caps w:val="false"/>
      <w:smallCaps w:val="false"/>
      <w:strike w:val="false"/>
      <w:dstrike w:val="false"/>
      <w:sz w:val="21"/>
      <w:u w:val="none"/>
    </w:rPr>
  </w:style>
  <w:style w:type="paragraph" w:styleId="121">
    <w:name w:val="Основной текст (12)"/>
    <w:basedOn w:val="Normal"/>
    <w:link w:val="12"/>
    <w:qFormat/>
    <w:pPr>
      <w:widowControl w:val="false"/>
      <w:spacing w:lineRule="atLeast" w:line="0"/>
    </w:pPr>
    <w:rPr>
      <w:rFonts w:ascii="Times New Roman" w:hAnsi="Times New Roman"/>
      <w:color w:val="000000"/>
      <w:sz w:val="12"/>
    </w:rPr>
  </w:style>
  <w:style w:type="paragraph" w:styleId="47">
    <w:name w:val="Основной текст (4)"/>
    <w:basedOn w:val="46"/>
    <w:link w:val="43"/>
    <w:qFormat/>
    <w:pPr/>
    <w:rPr>
      <w:rFonts w:ascii="Times New Roman" w:hAnsi="Times New Roman"/>
      <w:b w:val="false"/>
      <w:i/>
      <w:caps w:val="false"/>
      <w:smallCaps w:val="false"/>
      <w:strike w:val="false"/>
      <w:dstrike w:val="false"/>
      <w:color w:val="000000"/>
      <w:spacing w:val="0"/>
      <w:sz w:val="19"/>
      <w:u w:val="none"/>
    </w:rPr>
  </w:style>
  <w:style w:type="paragraph" w:styleId="Contents6WW1">
    <w:name w:val="Contents 6 (WW)"/>
    <w:link w:val="Contents6WW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15pt1">
    <w:name w:val="Основной текст + 11;5 pt;Полужирный"/>
    <w:basedOn w:val="44"/>
    <w:link w:val="115pt"/>
    <w:qFormat/>
    <w:pPr/>
    <w:rPr>
      <w:rFonts w:ascii="Times New Roman" w:hAnsi="Times New Roman"/>
      <w:b/>
      <w:color w:val="000000"/>
      <w:spacing w:val="0"/>
      <w:sz w:val="23"/>
      <w:shd w:fill="FFFFFF" w:val="clear"/>
    </w:rPr>
  </w:style>
  <w:style w:type="paragraph" w:styleId="13pt3">
    <w:name w:val="Колонтитул + 13 pt;Полужирный"/>
    <w:basedOn w:val="Style29"/>
    <w:link w:val="13pt1"/>
    <w:qFormat/>
    <w:pPr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0"/>
      <w:sz w:val="26"/>
      <w:u w:val="none"/>
    </w:rPr>
  </w:style>
  <w:style w:type="paragraph" w:styleId="Contents1WW1">
    <w:name w:val="Contents 1 (WW)"/>
    <w:link w:val="Contents1WW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6"/>
      <w:szCs w:val="20"/>
      <w:lang w:val="ru-RU" w:eastAsia="zh-CN" w:bidi="hi-IN"/>
    </w:rPr>
  </w:style>
  <w:style w:type="paragraph" w:styleId="Internetlink">
    <w:name w:val="Internet link"/>
    <w:basedOn w:val="DefaultParagraphFont1"/>
    <w:qFormat/>
    <w:pPr/>
    <w:rPr>
      <w:color w:val="0066CC"/>
      <w:u w:val="single"/>
    </w:rPr>
  </w:style>
  <w:style w:type="paragraph" w:styleId="ConsPlusTitle1">
    <w:name w:val="ConsPlusTitle"/>
    <w:link w:val="ConsPlusTitle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ind w:left="0" w:right="0" w:hanging="0"/>
      <w:jc w:val="left"/>
    </w:pPr>
    <w:rPr>
      <w:rFonts w:ascii="Calibri" w:hAnsi="Calibri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141">
    <w:name w:val="Основной текст (14)"/>
    <w:basedOn w:val="Normal"/>
    <w:link w:val="14"/>
    <w:qFormat/>
    <w:pPr>
      <w:widowControl w:val="false"/>
      <w:spacing w:lineRule="atLeast" w:line="0" w:before="300" w:after="1440"/>
    </w:pPr>
    <w:rPr>
      <w:rFonts w:ascii="Times New Roman" w:hAnsi="Times New Roman"/>
      <w:b/>
      <w:i/>
      <w:color w:val="000000"/>
      <w:sz w:val="18"/>
    </w:rPr>
  </w:style>
  <w:style w:type="paragraph" w:styleId="19">
    <w:name w:val="TOC 1"/>
    <w:basedOn w:val="Normal"/>
    <w:pPr>
      <w:widowControl w:val="false"/>
      <w:spacing w:lineRule="exact" w:line="317" w:before="180" w:after="0"/>
      <w:jc w:val="both"/>
    </w:pPr>
    <w:rPr>
      <w:rFonts w:ascii="Times New Roman" w:hAnsi="Times New Roman"/>
      <w:color w:val="000000"/>
      <w:sz w:val="26"/>
    </w:rPr>
  </w:style>
  <w:style w:type="paragraph" w:styleId="105pt3">
    <w:name w:val="Основной текст + 10;5 pt;Курсив"/>
    <w:basedOn w:val="44"/>
    <w:link w:val="105pt"/>
    <w:qFormat/>
    <w:pPr/>
    <w:rPr>
      <w:rFonts w:ascii="Times New Roman" w:hAnsi="Times New Roman"/>
      <w:i/>
      <w:color w:val="000000"/>
      <w:spacing w:val="0"/>
      <w:sz w:val="21"/>
      <w:shd w:fill="FFFFFF" w:val="clear"/>
    </w:rPr>
  </w:style>
  <w:style w:type="paragraph" w:styleId="93">
    <w:name w:val="TOC 9"/>
    <w:next w:val="Normal"/>
    <w:pPr>
      <w:widowControl/>
      <w:kinsoku w:val="true"/>
      <w:overflowPunct w:val="true"/>
      <w:autoSpaceDE w:val="true"/>
      <w:bidi w:val="0"/>
      <w:spacing w:lineRule="auto" w:line="276" w:before="0" w:after="200"/>
      <w:ind w:left="16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8WW1">
    <w:name w:val="Contents 8 (WW)"/>
    <w:link w:val="Contents8WW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312">
    <w:name w:val="Основной текст (3)"/>
    <w:basedOn w:val="313"/>
    <w:link w:val="35"/>
    <w:qFormat/>
    <w:pPr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0"/>
      <w:sz w:val="18"/>
      <w:u w:val="none"/>
    </w:rPr>
  </w:style>
  <w:style w:type="paragraph" w:styleId="Contents4WW1">
    <w:name w:val="Contents 4 (WW)"/>
    <w:link w:val="Contents4WW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83">
    <w:name w:val="Основной текст (8)_"/>
    <w:basedOn w:val="DefaultParagraphFont1"/>
    <w:link w:val="81"/>
    <w:qFormat/>
    <w:pPr/>
    <w:rPr>
      <w:rFonts w:ascii="Times New Roman" w:hAnsi="Times New Roman"/>
      <w:b/>
      <w:i w:val="false"/>
      <w:caps w:val="false"/>
      <w:smallCaps w:val="false"/>
      <w:strike w:val="false"/>
      <w:dstrike w:val="false"/>
      <w:sz w:val="26"/>
      <w:u w:val="none"/>
    </w:rPr>
  </w:style>
  <w:style w:type="paragraph" w:styleId="4LucidaSansUnicode9pt661">
    <w:name w:val="Основной текст (4) + Lucida Sans Unicode;9 pt;Не курсив;Масштаб 66%"/>
    <w:basedOn w:val="46"/>
    <w:link w:val="4LucidaSansUnicode9pt66"/>
    <w:qFormat/>
    <w:pPr/>
    <w:rPr>
      <w:rFonts w:ascii="Lucida Sans Unicode" w:hAnsi="Lucida Sans Unicode"/>
      <w:b w:val="false"/>
      <w:i/>
      <w:caps w:val="false"/>
      <w:smallCaps w:val="false"/>
      <w:strike w:val="false"/>
      <w:dstrike w:val="false"/>
      <w:color w:val="000000"/>
      <w:spacing w:val="0"/>
      <w:sz w:val="18"/>
      <w:u w:val="none"/>
    </w:rPr>
  </w:style>
  <w:style w:type="paragraph" w:styleId="9pt7">
    <w:name w:val="Колонтитул + 9 pt;Полужирный"/>
    <w:basedOn w:val="Style29"/>
    <w:link w:val="9pt3"/>
    <w:qFormat/>
    <w:pPr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0"/>
      <w:sz w:val="18"/>
      <w:u w:val="none"/>
    </w:rPr>
  </w:style>
  <w:style w:type="paragraph" w:styleId="2105pt1">
    <w:name w:val="Подпись к таблице (2) + 10;5 pt"/>
    <w:basedOn w:val="210"/>
    <w:link w:val="2105pt"/>
    <w:qFormat/>
    <w:pPr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0"/>
      <w:sz w:val="21"/>
      <w:u w:val="single"/>
    </w:rPr>
  </w:style>
  <w:style w:type="paragraph" w:styleId="84">
    <w:name w:val="TOC 8"/>
    <w:next w:val="Normal"/>
    <w:pPr>
      <w:widowControl/>
      <w:kinsoku w:val="true"/>
      <w:overflowPunct w:val="true"/>
      <w:autoSpaceDE w:val="true"/>
      <w:bidi w:val="0"/>
      <w:spacing w:lineRule="auto" w:line="276" w:before="0" w:after="200"/>
      <w:ind w:left="14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05pt4">
    <w:name w:val="Колонтитул + 10;5 pt;Полужирный"/>
    <w:basedOn w:val="Style29"/>
    <w:link w:val="105pt1"/>
    <w:qFormat/>
    <w:pPr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0"/>
      <w:sz w:val="21"/>
      <w:u w:val="none"/>
    </w:rPr>
  </w:style>
  <w:style w:type="paragraph" w:styleId="93pt1">
    <w:name w:val="Основной текст (9) + Интервал 3 pt"/>
    <w:basedOn w:val="92"/>
    <w:link w:val="93pt"/>
    <w:qFormat/>
    <w:pPr/>
    <w:rPr>
      <w:rFonts w:ascii="Times New Roman" w:hAnsi="Times New Roman"/>
      <w:b/>
      <w:color w:val="000000"/>
      <w:spacing w:val="60"/>
      <w:sz w:val="26"/>
      <w:shd w:fill="FFFFFF" w:val="clear"/>
    </w:rPr>
  </w:style>
  <w:style w:type="paragraph" w:styleId="313pt1">
    <w:name w:val="Основной текст (3) + 13 pt;Не полужирный"/>
    <w:basedOn w:val="313"/>
    <w:link w:val="313pt"/>
    <w:qFormat/>
    <w:pPr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0"/>
      <w:sz w:val="26"/>
      <w:u w:val="none"/>
    </w:rPr>
  </w:style>
  <w:style w:type="paragraph" w:styleId="DefaultParagraphFont1">
    <w:name w:val="Default Paragraph Font"/>
    <w:link w:val="DefaultParagraphFont"/>
    <w:qFormat/>
    <w:pPr>
      <w:widowControl/>
      <w:kinsoku w:val="true"/>
      <w:overflowPunct w:val="true"/>
      <w:autoSpaceDE w:val="true"/>
      <w:bidi w:val="0"/>
      <w:spacing w:lineRule="auto" w:line="276" w:before="0" w:after="200"/>
      <w:ind w:left="0" w:right="0" w:hanging="0"/>
      <w:jc w:val="lef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110">
    <w:name w:val="Заголовок №1"/>
    <w:basedOn w:val="Normal"/>
    <w:link w:val="15"/>
    <w:qFormat/>
    <w:pPr>
      <w:widowControl w:val="false"/>
      <w:numPr>
        <w:ilvl w:val="0"/>
        <w:numId w:val="0"/>
      </w:numPr>
      <w:spacing w:lineRule="atLeast" w:line="0" w:before="300" w:after="420"/>
      <w:ind w:left="280" w:right="0" w:hanging="280"/>
      <w:jc w:val="both"/>
      <w:outlineLvl w:val="0"/>
    </w:pPr>
    <w:rPr>
      <w:rFonts w:ascii="Times New Roman" w:hAnsi="Times New Roman"/>
      <w:b/>
      <w:color w:val="000000"/>
      <w:sz w:val="26"/>
    </w:rPr>
  </w:style>
  <w:style w:type="paragraph" w:styleId="Constantia4pt1pt1">
    <w:name w:val="Основной текст + Constantia;4 pt;Интервал 1 pt"/>
    <w:basedOn w:val="44"/>
    <w:link w:val="Constantia4pt1pt"/>
    <w:qFormat/>
    <w:pPr/>
    <w:rPr>
      <w:rFonts w:ascii="Constantia" w:hAnsi="Constantia"/>
      <w:color w:val="000000"/>
      <w:spacing w:val="20"/>
      <w:sz w:val="8"/>
      <w:shd w:fill="FFFFFF" w:val="clear"/>
    </w:rPr>
  </w:style>
  <w:style w:type="paragraph" w:styleId="152">
    <w:name w:val="Основной текст (15)"/>
    <w:basedOn w:val="Normal"/>
    <w:link w:val="151"/>
    <w:qFormat/>
    <w:pPr>
      <w:widowControl w:val="false"/>
      <w:spacing w:lineRule="exact" w:line="206" w:before="900" w:after="540"/>
      <w:jc w:val="center"/>
    </w:pPr>
    <w:rPr>
      <w:rFonts w:ascii="Lucida Sans Unicode" w:hAnsi="Lucida Sans Unicode"/>
      <w:color w:val="000000"/>
      <w:sz w:val="18"/>
    </w:rPr>
  </w:style>
  <w:style w:type="paragraph" w:styleId="105pt5">
    <w:name w:val="Основной текст + 10;5 pt"/>
    <w:basedOn w:val="44"/>
    <w:link w:val="105pt2"/>
    <w:qFormat/>
    <w:pPr/>
    <w:rPr>
      <w:rFonts w:ascii="Times New Roman" w:hAnsi="Times New Roman"/>
      <w:color w:val="000000"/>
      <w:spacing w:val="0"/>
      <w:sz w:val="21"/>
      <w:shd w:fill="FFFFFF" w:val="clear"/>
    </w:rPr>
  </w:style>
  <w:style w:type="paragraph" w:styleId="Contents3WW1">
    <w:name w:val="Contents 3 (WW)"/>
    <w:link w:val="Contents3WW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54">
    <w:name w:val="Основной текст (5)_"/>
    <w:basedOn w:val="DefaultParagraphFont1"/>
    <w:link w:val="52"/>
    <w:qFormat/>
    <w:pPr/>
    <w:rPr>
      <w:rFonts w:ascii="Times New Roman" w:hAnsi="Times New Roman"/>
      <w:b w:val="false"/>
      <w:i w:val="false"/>
      <w:caps w:val="false"/>
      <w:smallCaps w:val="false"/>
      <w:strike w:val="false"/>
      <w:dstrike w:val="false"/>
      <w:sz w:val="20"/>
      <w:u w:val="none"/>
    </w:rPr>
  </w:style>
  <w:style w:type="paragraph" w:styleId="Style40">
    <w:name w:val="Footer"/>
    <w:pPr>
      <w:widowControl w:val="false"/>
      <w:kinsoku w:val="true"/>
      <w:overflowPunct w:val="true"/>
      <w:autoSpaceDE w:val="true"/>
      <w:bidi w:val="0"/>
      <w:spacing w:lineRule="auto" w:line="240" w:before="0" w:after="0"/>
      <w:ind w:left="0" w:right="0" w:hanging="0"/>
      <w:jc w:val="lef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55">
    <w:name w:val="TOC 5"/>
    <w:next w:val="Normal"/>
    <w:pPr>
      <w:widowControl/>
      <w:kinsoku w:val="true"/>
      <w:overflowPunct w:val="true"/>
      <w:autoSpaceDE w:val="true"/>
      <w:bidi w:val="0"/>
      <w:spacing w:lineRule="auto" w:line="276" w:before="0" w:after="200"/>
      <w:ind w:left="8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ListParagraph1">
    <w:name w:val="List Paragraph"/>
    <w:basedOn w:val="Normal"/>
    <w:link w:val="ListParagraph"/>
    <w:qFormat/>
    <w:pPr>
      <w:widowControl/>
      <w:spacing w:lineRule="auto" w:line="276" w:before="0" w:after="200"/>
      <w:ind w:left="720" w:right="0" w:hanging="0"/>
      <w:contextualSpacing/>
    </w:pPr>
    <w:rPr>
      <w:rFonts w:ascii="Calibri" w:hAnsi="Calibri"/>
      <w:color w:val="000000"/>
      <w:sz w:val="22"/>
    </w:rPr>
  </w:style>
  <w:style w:type="paragraph" w:styleId="11Exact1">
    <w:name w:val="Основной текст (11) Exact"/>
    <w:basedOn w:val="DefaultParagraphFont1"/>
    <w:link w:val="11Exact"/>
    <w:qFormat/>
    <w:pPr/>
    <w:rPr>
      <w:rFonts w:ascii="Times New Roman" w:hAnsi="Times New Roman"/>
      <w:b w:val="false"/>
      <w:i w:val="false"/>
      <w:caps w:val="false"/>
      <w:smallCaps w:val="false"/>
      <w:strike w:val="false"/>
      <w:dstrike w:val="false"/>
      <w:spacing w:val="3"/>
      <w:sz w:val="20"/>
      <w:u w:val="none"/>
    </w:rPr>
  </w:style>
  <w:style w:type="paragraph" w:styleId="313">
    <w:name w:val="Основной текст (3)_"/>
    <w:basedOn w:val="DefaultParagraphFont1"/>
    <w:link w:val="36"/>
    <w:qFormat/>
    <w:pPr/>
    <w:rPr>
      <w:rFonts w:ascii="Times New Roman" w:hAnsi="Times New Roman"/>
      <w:b/>
      <w:i w:val="false"/>
      <w:caps w:val="false"/>
      <w:smallCaps w:val="false"/>
      <w:strike w:val="false"/>
      <w:dstrike w:val="false"/>
      <w:sz w:val="18"/>
      <w:u w:val="none"/>
    </w:rPr>
  </w:style>
  <w:style w:type="paragraph" w:styleId="94">
    <w:name w:val="Основной текст (9) + Курсив"/>
    <w:basedOn w:val="92"/>
    <w:link w:val="91"/>
    <w:qFormat/>
    <w:pPr/>
    <w:rPr>
      <w:rFonts w:ascii="Times New Roman" w:hAnsi="Times New Roman"/>
      <w:b/>
      <w:i/>
      <w:color w:val="000000"/>
      <w:spacing w:val="0"/>
      <w:sz w:val="26"/>
      <w:shd w:fill="FFFFFF" w:val="clear"/>
    </w:rPr>
  </w:style>
  <w:style w:type="paragraph" w:styleId="InternetlinkWW1">
    <w:name w:val="Internet link (WW)"/>
    <w:basedOn w:val="DefaultParagraphFont1"/>
    <w:link w:val="InternetlinkWW"/>
    <w:qFormat/>
    <w:pPr/>
    <w:rPr>
      <w:color w:val="0066CC"/>
      <w:u w:val="single"/>
    </w:rPr>
  </w:style>
  <w:style w:type="paragraph" w:styleId="513pt1">
    <w:name w:val="Основной текст (5) + 13 pt"/>
    <w:basedOn w:val="54"/>
    <w:link w:val="513pt"/>
    <w:qFormat/>
    <w:pPr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0"/>
      <w:sz w:val="26"/>
      <w:u w:val="none"/>
    </w:rPr>
  </w:style>
  <w:style w:type="paragraph" w:styleId="3105pt1">
    <w:name w:val="Основной текст (3) + 10;5 pt;Не полужирный"/>
    <w:basedOn w:val="313"/>
    <w:link w:val="3105pt"/>
    <w:qFormat/>
    <w:pPr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0"/>
      <w:sz w:val="21"/>
      <w:u w:val="none"/>
    </w:rPr>
  </w:style>
  <w:style w:type="paragraph" w:styleId="EndnoteSymbol">
    <w:name w:val="Endnote Symbol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ind w:left="0" w:right="0" w:hanging="0"/>
      <w:jc w:val="lef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vertAlign w:val="superscript"/>
      <w:lang w:val="ru-RU" w:eastAsia="zh-CN" w:bidi="hi-IN"/>
    </w:rPr>
  </w:style>
  <w:style w:type="paragraph" w:styleId="Style41">
    <w:name w:val="Подпись к картинке"/>
    <w:basedOn w:val="Normal"/>
    <w:link w:val="Style22"/>
    <w:qFormat/>
    <w:pPr>
      <w:widowControl w:val="false"/>
      <w:spacing w:lineRule="atLeast" w:line="0"/>
    </w:pPr>
    <w:rPr>
      <w:rFonts w:ascii="Times New Roman" w:hAnsi="Times New Roman"/>
      <w:color w:val="000000"/>
      <w:spacing w:val="3"/>
      <w:sz w:val="22"/>
    </w:rPr>
  </w:style>
  <w:style w:type="paragraph" w:styleId="74">
    <w:name w:val="Основной текст (7)"/>
    <w:basedOn w:val="73"/>
    <w:link w:val="71"/>
    <w:qFormat/>
    <w:pPr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0"/>
      <w:sz w:val="18"/>
      <w:u w:val="none"/>
    </w:rPr>
  </w:style>
  <w:style w:type="paragraph" w:styleId="64">
    <w:name w:val="Основной текст (6)"/>
    <w:basedOn w:val="62"/>
    <w:link w:val="61"/>
    <w:qFormat/>
    <w:pPr/>
    <w:rPr>
      <w:rFonts w:ascii="Times New Roman" w:hAnsi="Times New Roman"/>
      <w:b w:val="false"/>
      <w:i/>
      <w:caps w:val="false"/>
      <w:smallCaps w:val="false"/>
      <w:strike w:val="false"/>
      <w:dstrike w:val="false"/>
      <w:color w:val="000000"/>
      <w:spacing w:val="0"/>
      <w:sz w:val="21"/>
      <w:u w:val="none"/>
    </w:rPr>
  </w:style>
  <w:style w:type="paragraph" w:styleId="5105pt1">
    <w:name w:val="Основной текст (5) + 10;5 pt;Курсив"/>
    <w:basedOn w:val="54"/>
    <w:link w:val="5105pt"/>
    <w:qFormat/>
    <w:pPr/>
    <w:rPr>
      <w:rFonts w:ascii="Times New Roman" w:hAnsi="Times New Roman"/>
      <w:b w:val="false"/>
      <w:i/>
      <w:caps w:val="false"/>
      <w:smallCaps w:val="false"/>
      <w:strike w:val="false"/>
      <w:dstrike w:val="false"/>
      <w:color w:val="000000"/>
      <w:spacing w:val="0"/>
      <w:sz w:val="21"/>
      <w:u w:val="none"/>
    </w:rPr>
  </w:style>
  <w:style w:type="paragraph" w:styleId="2111111111">
    <w:name w:val="Основной текст (2)111111111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3"/>
      <w:szCs w:val="20"/>
      <w:lang w:val="ru-RU" w:eastAsia="zh-CN" w:bidi="hi-IN"/>
    </w:rPr>
  </w:style>
  <w:style w:type="paragraph" w:styleId="Style42">
    <w:name w:val="Содержимое таблицы"/>
    <w:basedOn w:val="Normal"/>
    <w:qFormat/>
    <w:pPr>
      <w:widowControl w:val="false"/>
      <w:suppressLineNumbers/>
    </w:pPr>
    <w:rPr/>
  </w:style>
  <w:style w:type="paragraph" w:styleId="Style43">
    <w:name w:val="Заголовок таблицы"/>
    <w:basedOn w:val="Style42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ogin.consultant.ru/link/?rnd=4F76CFA3B754175EE6B7A4131CD947A5&amp;req=doc&amp;base=LAW&amp;n=314549&amp;dst=100017&amp;fld=134&amp;date=22.01.2020" TargetMode="External"/><Relationship Id="rId3" Type="http://schemas.openxmlformats.org/officeDocument/2006/relationships/footer" Target="footer1.xml"/><Relationship Id="rId4" Type="http://schemas.openxmlformats.org/officeDocument/2006/relationships/hyperlink" Target="http://frgu.ru/" TargetMode="External"/><Relationship Id="rId5" Type="http://schemas.openxmlformats.org/officeDocument/2006/relationships/hyperlink" Target="https://www.gosuslugi.ru/" TargetMode="Externa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Application>LibreOffice/7.5.6.2$Linux_X86_64 LibreOffice_project/50$Build-2</Application>
  <AppVersion>15.0000</AppVersion>
  <Pages>33</Pages>
  <Words>6671</Words>
  <Characters>52826</Characters>
  <CharactersWithSpaces>59379</CharactersWithSpaces>
  <Paragraphs>509</Paragraphs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2026-09-14T10:16:00Z</dcterms:created>
  <dc:creator/>
  <dc:description/>
  <dc:language>ru-RU</dc:language>
  <cp:lastModifiedBy/>
  <cp:lastPrinted>2026-09-15T16:19:40Z</cp:lastPrinted>
  <dcterms:modified xsi:type="dcterms:W3CDTF">2026-09-29T11:04:16Z</dcterms:modified>
  <cp:revision>42</cp:revision>
  <dc:subject/>
  <dc:title>Постановление администрации г. Новокузнецка от 04.03.2026 N 87"Об утверждении административного регламента предоставления муниципальной услуги "Направление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