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Информация о результатах оценки эффективности 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муниципальной программы «Жилье»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за 202</w:t>
      </w:r>
      <w:r>
        <w:rPr>
          <w:sz w:val="28"/>
        </w:rPr>
        <w:t>5</w:t>
      </w:r>
      <w:r>
        <w:rPr>
          <w:sz w:val="28"/>
        </w:rPr>
        <w:t xml:space="preserve"> год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hanging="0" w:left="708" w:right="0"/>
        <w:jc w:val="both"/>
        <w:rPr>
          <w:sz w:val="24"/>
        </w:rPr>
      </w:pPr>
      <w:r>
        <w:rPr>
          <w:sz w:val="28"/>
        </w:rPr>
        <w:t xml:space="preserve"> </w:t>
      </w:r>
      <w:r>
        <w:rPr>
          <w:sz w:val="24"/>
        </w:rPr>
        <w:t xml:space="preserve">  </w:t>
      </w:r>
      <w:r>
        <w:rPr>
          <w:sz w:val="24"/>
        </w:rPr>
        <w:t>В результате оценки эффективности программных мероприятий муниципальной программы установлено:</w:t>
      </w:r>
    </w:p>
    <w:p>
      <w:pPr>
        <w:pStyle w:val="Normal"/>
        <w:ind w:hanging="0" w:left="708" w:right="0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 xml:space="preserve">За отчетный год предоставлено (приобретено) </w:t>
      </w:r>
      <w:r>
        <w:rPr>
          <w:sz w:val="24"/>
        </w:rPr>
        <w:t>2 294,7</w:t>
      </w:r>
      <w:r>
        <w:rPr>
          <w:sz w:val="24"/>
        </w:rPr>
        <w:t xml:space="preserve">,0 квадратных метров жилья. </w:t>
      </w:r>
    </w:p>
    <w:p>
      <w:pPr>
        <w:pStyle w:val="Normal"/>
        <w:ind w:hanging="0" w:left="709" w:right="0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 xml:space="preserve">Это позволило обеспечить жилыми помещениями </w:t>
      </w:r>
      <w:r>
        <w:rPr>
          <w:sz w:val="24"/>
        </w:rPr>
        <w:t>49</w:t>
      </w:r>
      <w:r>
        <w:rPr>
          <w:sz w:val="24"/>
        </w:rPr>
        <w:t xml:space="preserve"> семей, что составляет 100% от запланированного, в том числе:</w:t>
      </w:r>
    </w:p>
    <w:p>
      <w:pPr>
        <w:pStyle w:val="Normal"/>
        <w:ind w:hanging="0" w:left="708" w:right="0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 xml:space="preserve">- </w:t>
      </w:r>
      <w:r>
        <w:rPr>
          <w:sz w:val="24"/>
        </w:rPr>
        <w:t>19</w:t>
      </w:r>
      <w:r>
        <w:rPr>
          <w:sz w:val="24"/>
        </w:rPr>
        <w:t xml:space="preserve"> жил</w:t>
      </w:r>
      <w:r>
        <w:rPr>
          <w:sz w:val="24"/>
        </w:rPr>
        <w:t>ых</w:t>
      </w:r>
      <w:r>
        <w:rPr>
          <w:sz w:val="24"/>
        </w:rPr>
        <w:t xml:space="preserve"> помещени</w:t>
      </w:r>
      <w:r>
        <w:rPr>
          <w:sz w:val="24"/>
        </w:rPr>
        <w:t>ий</w:t>
      </w:r>
      <w:r>
        <w:rPr>
          <w:sz w:val="24"/>
        </w:rPr>
        <w:t xml:space="preserve"> общей площадью </w:t>
      </w:r>
      <w:r>
        <w:rPr>
          <w:sz w:val="24"/>
        </w:rPr>
        <w:t>628,0</w:t>
      </w:r>
      <w:r>
        <w:rPr>
          <w:sz w:val="24"/>
        </w:rPr>
        <w:t xml:space="preserve"> кв м предоставлено гражданам по категории «лица из числа детей-сирот и детей, оставшихся без попечения родителей» по договорам найма специализированных жилых помещений;</w:t>
        <w:br/>
        <w:t xml:space="preserve">     - </w:t>
      </w:r>
      <w:r>
        <w:rPr>
          <w:sz w:val="24"/>
        </w:rPr>
        <w:t>3</w:t>
      </w:r>
      <w:r>
        <w:rPr>
          <w:sz w:val="24"/>
        </w:rPr>
        <w:t xml:space="preserve"> жилых помещени</w:t>
      </w:r>
      <w:r>
        <w:rPr>
          <w:sz w:val="24"/>
        </w:rPr>
        <w:t>я</w:t>
      </w:r>
      <w:r>
        <w:rPr>
          <w:sz w:val="24"/>
        </w:rPr>
        <w:t xml:space="preserve"> общей площадью </w:t>
      </w:r>
      <w:r>
        <w:rPr>
          <w:sz w:val="24"/>
        </w:rPr>
        <w:t>162,1</w:t>
      </w:r>
      <w:r>
        <w:rPr>
          <w:sz w:val="24"/>
        </w:rPr>
        <w:t xml:space="preserve"> кв м предоставлено гражданам, состоящим на учете нуждающихся в законном порядке признанными малоимущими, по договорам социального найма;</w:t>
      </w:r>
    </w:p>
    <w:p>
      <w:pPr>
        <w:pStyle w:val="Normal"/>
        <w:ind w:hanging="0" w:left="708" w:right="0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 xml:space="preserve">- </w:t>
      </w:r>
      <w:r>
        <w:rPr>
          <w:sz w:val="24"/>
        </w:rPr>
        <w:t>11</w:t>
      </w:r>
      <w:r>
        <w:rPr>
          <w:sz w:val="24"/>
        </w:rPr>
        <w:t xml:space="preserve"> служебных жилых помещения общей площадью </w:t>
      </w:r>
      <w:r>
        <w:rPr>
          <w:sz w:val="24"/>
        </w:rPr>
        <w:t>577,6</w:t>
      </w:r>
      <w:r>
        <w:rPr>
          <w:sz w:val="24"/>
        </w:rPr>
        <w:t xml:space="preserve"> кв м предоставлено специалистам бюджетной сферы Прокопьевского муниципального округа, по договорам специализированного (служебного) найма;</w:t>
      </w:r>
    </w:p>
    <w:p>
      <w:pPr>
        <w:pStyle w:val="Normal"/>
        <w:ind w:hanging="0" w:left="708" w:right="0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 xml:space="preserve">- </w:t>
      </w:r>
      <w:r>
        <w:rPr>
          <w:sz w:val="24"/>
        </w:rPr>
        <w:t>15</w:t>
      </w:r>
      <w:r>
        <w:rPr>
          <w:sz w:val="24"/>
        </w:rPr>
        <w:t xml:space="preserve"> жилых помещений общей площадью </w:t>
      </w:r>
      <w:r>
        <w:rPr>
          <w:sz w:val="24"/>
        </w:rPr>
        <w:t>882,9</w:t>
      </w:r>
      <w:r>
        <w:rPr>
          <w:sz w:val="24"/>
        </w:rPr>
        <w:t xml:space="preserve"> кв м приобретено молодыми семьями в рамках реализации мероприятия «Предоставление социальных выплат молодым семьям на приобретение жилого помещения или создание объекта индивидуального жилищного строительства»;</w:t>
      </w:r>
    </w:p>
    <w:p>
      <w:pPr>
        <w:pStyle w:val="Normal"/>
        <w:ind w:hanging="0" w:left="708" w:right="0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 xml:space="preserve">- </w:t>
      </w:r>
      <w:r>
        <w:rPr>
          <w:sz w:val="24"/>
        </w:rPr>
        <w:t>1</w:t>
      </w:r>
      <w:r>
        <w:rPr>
          <w:sz w:val="24"/>
        </w:rPr>
        <w:t xml:space="preserve"> жил</w:t>
      </w:r>
      <w:r>
        <w:rPr>
          <w:sz w:val="24"/>
        </w:rPr>
        <w:t>ое</w:t>
      </w:r>
      <w:r>
        <w:rPr>
          <w:sz w:val="24"/>
        </w:rPr>
        <w:t xml:space="preserve"> помещени</w:t>
      </w:r>
      <w:r>
        <w:rPr>
          <w:sz w:val="24"/>
        </w:rPr>
        <w:t>е</w:t>
      </w:r>
      <w:r>
        <w:rPr>
          <w:sz w:val="24"/>
        </w:rPr>
        <w:t xml:space="preserve"> общей площадью </w:t>
      </w:r>
      <w:r>
        <w:rPr>
          <w:sz w:val="24"/>
        </w:rPr>
        <w:t>44,1</w:t>
      </w:r>
      <w:r>
        <w:rPr>
          <w:sz w:val="24"/>
        </w:rPr>
        <w:t xml:space="preserve"> кв м </w:t>
      </w:r>
      <w:r>
        <w:rPr>
          <w:sz w:val="24"/>
        </w:rPr>
        <w:t>расселено</w:t>
      </w:r>
      <w:r>
        <w:rPr>
          <w:sz w:val="24"/>
        </w:rPr>
        <w:t xml:space="preserve"> в рамках реализации региональной адресной программы по переселению граждан из аварийного жилого фонда;</w:t>
      </w:r>
    </w:p>
    <w:p>
      <w:pPr>
        <w:pStyle w:val="Normal"/>
        <w:ind w:hanging="0" w:left="708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Пояснительная записка 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по оценке влияния в решение задач и достижение целей реализации 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муниципальной программы  «Жилье» 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за 202</w:t>
      </w:r>
      <w:r>
        <w:rPr>
          <w:sz w:val="28"/>
        </w:rPr>
        <w:t>5</w:t>
      </w:r>
      <w:r>
        <w:rPr>
          <w:sz w:val="28"/>
        </w:rPr>
        <w:t xml:space="preserve"> год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hanging="0" w:left="708" w:right="0"/>
        <w:jc w:val="both"/>
        <w:rPr>
          <w:sz w:val="24"/>
        </w:rPr>
      </w:pPr>
      <w:r>
        <w:rPr>
          <w:sz w:val="28"/>
        </w:rPr>
        <w:t xml:space="preserve">        </w:t>
      </w:r>
      <w:r>
        <w:rPr>
          <w:sz w:val="24"/>
        </w:rPr>
        <w:t xml:space="preserve"> </w:t>
      </w:r>
      <w:r>
        <w:rPr>
          <w:sz w:val="24"/>
        </w:rPr>
        <w:t>В результате реализации муниципальной программы, запланированные цели и задачи были достигнуты.</w:t>
      </w:r>
    </w:p>
    <w:p>
      <w:pPr>
        <w:pStyle w:val="Normal"/>
        <w:tabs>
          <w:tab w:val="clear" w:pos="708"/>
          <w:tab w:val="left" w:pos="1156" w:leader="none"/>
        </w:tabs>
        <w:ind w:hanging="0" w:left="708" w:right="0"/>
        <w:jc w:val="both"/>
        <w:rPr>
          <w:sz w:val="24"/>
        </w:rPr>
      </w:pPr>
      <w:r>
        <w:rPr>
          <w:sz w:val="24"/>
        </w:rPr>
        <w:tab/>
        <w:t xml:space="preserve">На эти цели за счет всех источников было направлено </w:t>
      </w:r>
      <w:r>
        <w:rPr>
          <w:sz w:val="24"/>
        </w:rPr>
        <w:t>76 484,9</w:t>
      </w:r>
      <w:r>
        <w:rPr>
          <w:b/>
          <w:color w:val="000000"/>
          <w:sz w:val="24"/>
        </w:rPr>
        <w:t xml:space="preserve"> </w:t>
      </w:r>
      <w:r>
        <w:rPr>
          <w:sz w:val="24"/>
        </w:rPr>
        <w:t xml:space="preserve">тыс. рублей, в том числе за счет средств местного бюджета </w:t>
      </w:r>
      <w:r>
        <w:rPr>
          <w:sz w:val="24"/>
        </w:rPr>
        <w:t>8 461,2</w:t>
      </w:r>
      <w:r>
        <w:rPr>
          <w:sz w:val="24"/>
        </w:rPr>
        <w:t xml:space="preserve"> тыс. рублей. </w:t>
      </w:r>
    </w:p>
    <w:p>
      <w:pPr>
        <w:pStyle w:val="Normal"/>
        <w:tabs>
          <w:tab w:val="clear" w:pos="708"/>
          <w:tab w:val="left" w:pos="1156" w:leader="none"/>
        </w:tabs>
        <w:ind w:hanging="0" w:left="708" w:right="0"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>По мероприятию «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Переселение граждан из аварийного жилищного фонда, признанного таковым после 01.01.2017, в рамках реализации региональной адресной программы «Переселение граждан из многоквартирных домов, признанных после 01.01.2017 в установленном порядке аварийными и подлежащими сносу или реконструкции» на 2025-2026 годы», утвержденной постановлением Правительства Кемеровской области-Кузбасса от 11.09.2025 № 561»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из доведенного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Минстроем Кузбасса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лимита в размере 4 295,3 тыс. руб.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(средства Фонда развития территорий)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по этапу 2025-2026 гг. на расселение двух жилых помещений из многоквартирного дома, признанного в установленном законном порядке аварийным и подлежащим сносу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освоено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2 448,5 тыс. руб., расселена одна квартира.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 </w:t>
      </w:r>
      <w:r>
        <w:rPr>
          <w:rFonts w:cs="Times New Roman" w:ascii="Times New Roman" w:hAnsi="Times New Roman"/>
          <w:sz w:val="24"/>
          <w:lang w:val="ru-RU" w:eastAsia="zh-CN" w:bidi="hi-IN"/>
        </w:rPr>
        <w:t>Разница в размере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 1 846,8 тыс. руб. </w:t>
      </w:r>
      <w:r>
        <w:rPr>
          <w:rFonts w:cs="Times New Roman" w:ascii="Times New Roman" w:hAnsi="Times New Roman"/>
          <w:sz w:val="24"/>
          <w:lang w:val="ru-RU" w:eastAsia="zh-CN" w:bidi="hi-IN"/>
        </w:rPr>
        <w:t>будет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 включена в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первую 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редакцию закона  Кемеровской области - Кузбасса от 10.12.2025 </w:t>
      </w:r>
      <w:r>
        <w:rPr>
          <w:rFonts w:cs="Times New Roman" w:ascii="Times New Roman" w:hAnsi="Times New Roman"/>
          <w:sz w:val="24"/>
          <w:lang w:val="ru-RU" w:eastAsia="zh-CN" w:bidi="hi-IN"/>
        </w:rPr>
        <w:t>№</w:t>
      </w:r>
      <w:r>
        <w:rPr>
          <w:rFonts w:cs="Times New Roman" w:ascii="Times New Roman" w:hAnsi="Times New Roman"/>
          <w:sz w:val="24"/>
          <w:lang w:val="ru-RU" w:eastAsia="zh-CN" w:bidi="hi-IN"/>
        </w:rPr>
        <w:t xml:space="preserve"> 161-ОЗ «Об областном бюджете на 2026 год и на плановый период 2027 и 2028 годов» </w:t>
      </w:r>
      <w:r>
        <w:rPr>
          <w:rFonts w:cs="Times New Roman" w:ascii="Times New Roman" w:hAnsi="Times New Roman"/>
          <w:sz w:val="24"/>
          <w:lang w:val="ru-RU" w:eastAsia="zh-CN" w:bidi="hi-IN"/>
        </w:rPr>
        <w:t>и доведена до Прокопьевского муниципального округа в 2026 году, с целью расселения второй квартиры.</w:t>
      </w:r>
    </w:p>
    <w:p>
      <w:pPr>
        <w:pStyle w:val="Normal"/>
        <w:tabs>
          <w:tab w:val="clear" w:pos="708"/>
          <w:tab w:val="left" w:pos="1156" w:leader="none"/>
        </w:tabs>
        <w:ind w:hanging="0" w:left="708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hanging="0" w:left="708" w:right="0"/>
        <w:jc w:val="both"/>
        <w:rPr>
          <w:sz w:val="24"/>
        </w:rPr>
      </w:pPr>
      <w:r>
        <w:rPr>
          <w:sz w:val="24"/>
        </w:rPr>
        <w:tab/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Директор программы,</w:t>
      </w:r>
    </w:p>
    <w:p>
      <w:pPr>
        <w:pStyle w:val="Normal"/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заместитель главы округа                                                                     Н.Ю. Степанова</w:t>
      </w:r>
    </w:p>
    <w:p>
      <w:pPr>
        <w:pStyle w:val="Normal"/>
        <w:ind w:firstLine="568" w:left="708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568" w:left="708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18"/>
        </w:rPr>
      </w:pPr>
      <w:r>
        <w:rPr>
          <w:sz w:val="18"/>
        </w:rPr>
        <w:t xml:space="preserve">                </w:t>
      </w:r>
      <w:r>
        <w:rPr>
          <w:sz w:val="18"/>
        </w:rPr>
        <w:t>Исп. А.В. Бушланова</w:t>
      </w:r>
    </w:p>
    <w:sectPr>
      <w:type w:val="nextPage"/>
      <w:pgSz w:w="11906" w:h="16838"/>
      <w:pgMar w:left="425" w:right="851" w:gutter="0" w:header="0" w:top="284" w:footer="0" w:bottom="142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auto"/>
    <w:pitch w:val="default"/>
  </w:font>
  <w:font w:name="Times New Roman">
    <w:charset w:val="01"/>
    <w:family w:val="auto"/>
    <w:pitch w:val="default"/>
  </w:font>
  <w:font w:name="XO Thames">
    <w:charset w:val="01"/>
    <w:family w:val="auto"/>
    <w:pitch w:val="default"/>
  </w:font>
  <w:font w:name="Verdana">
    <w:charset w:val="01"/>
    <w:family w:val="auto"/>
    <w:pitch w:val="default"/>
  </w:font>
  <w:font w:name="Arial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CharChar">
    <w:name w:val="Знак Знак Знак Char Char Знак Знак Знак Знак Знак Знак Знак Знак Знак Знак Знак Знак"/>
    <w:link w:val="CharChar1"/>
    <w:qFormat/>
    <w:rPr>
      <w:rFonts w:ascii="Verdana" w:hAnsi="Verdana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Arial" w:hAnsi="Arial"/>
      <w:b/>
      <w:sz w:val="32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harChar1">
    <w:name w:val="Знак Знак Знак Char Char Знак Знак Знак Знак Знак Знак Знак Знак Знак Знак Знак Знак1"/>
    <w:basedOn w:val="Normal"/>
    <w:link w:val="CharChar"/>
    <w:qFormat/>
    <w:pPr>
      <w:tabs>
        <w:tab w:val="clear" w:pos="708"/>
        <w:tab w:val="left" w:pos="720" w:leader="none"/>
      </w:tabs>
      <w:spacing w:lineRule="exact" w:line="240" w:before="0" w:after="160"/>
      <w:ind w:hanging="720" w:left="720"/>
      <w:jc w:val="both"/>
    </w:pPr>
    <w:rPr>
      <w:rFonts w:ascii="Verdana" w:hAnsi="Verdana"/>
    </w:rPr>
  </w:style>
  <w:style w:type="paragraph" w:styleId="ConsPlusNormal1">
    <w:name w:val="ConsPlusNormal1"/>
    <w:link w:val="ConsPlusNormal"/>
    <w:qFormat/>
    <w:pPr>
      <w:widowControl w:val="fals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0"/>
      <w:ind w:hanging="0" w:left="720"/>
      <w:contextualSpacing/>
    </w:pPr>
    <w:rPr/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uiPriority w:val="10"/>
    <w:qFormat/>
    <w:pPr>
      <w:spacing w:lineRule="auto" w:line="360" w:before="120" w:after="0"/>
      <w:ind w:right="4670"/>
      <w:jc w:val="center"/>
    </w:pPr>
    <w:rPr>
      <w:rFonts w:ascii="Arial" w:hAnsi="Arial"/>
      <w:b/>
      <w:sz w:val="32"/>
    </w:rPr>
  </w:style>
  <w:style w:type="table" w:default="1" w:styleId="Style_2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LibreOffice/24.8.4.2$Linux_X86_64 LibreOffice_project/480$Build-2</Application>
  <AppVersion>15.0000</AppVersion>
  <Pages>1</Pages>
  <Words>378</Words>
  <Characters>2470</Characters>
  <CharactersWithSpaces>2992</CharactersWithSpaces>
  <Paragraphs>21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2026-03-19T09:55:00Z</dcterms:created>
  <dc:creator/>
  <dc:description/>
  <dc:language>ru-RU</dc:language>
  <cp:lastModifiedBy/>
  <dcterms:modified xsi:type="dcterms:W3CDTF">2026-03-19T09:57:57Z</dcterms:modified>
  <cp:revision>1</cp:revision>
  <dc:subject/>
  <dc:title>Закон Кемеровской области - Кузбасса от 10.12.2025 N 161-ОЗ"Об областном бюджете на 2026 год и на плановый период 2027 и 2028 годов"(принят Законодательным Собранием Кемеровской области - Кузбасса 10.12.2025)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