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jc w:val="right"/>
        <w:rPr/>
      </w:pPr>
      <w:r>
        <w:rPr/>
        <w:t xml:space="preserve">Приложение № 8 </w:t>
      </w:r>
    </w:p>
    <w:p>
      <w:pPr>
        <w:pStyle w:val="Normal"/>
        <w:widowControl w:val="false"/>
        <w:jc w:val="right"/>
        <w:rPr/>
      </w:pPr>
      <w:r>
        <w:rPr/>
        <w:t xml:space="preserve">к Положению о муниципальных </w:t>
      </w:r>
    </w:p>
    <w:p>
      <w:pPr>
        <w:pStyle w:val="Normal"/>
        <w:widowControl w:val="false"/>
        <w:jc w:val="right"/>
        <w:rPr/>
      </w:pPr>
      <w:r>
        <w:rPr/>
        <w:t xml:space="preserve">программах Прокопьевского </w:t>
      </w:r>
    </w:p>
    <w:p>
      <w:pPr>
        <w:pStyle w:val="Normal"/>
        <w:widowControl w:val="false"/>
        <w:jc w:val="right"/>
        <w:rPr/>
      </w:pPr>
      <w:r>
        <w:rPr/>
        <w:t>муниципального района</w:t>
      </w:r>
    </w:p>
    <w:p>
      <w:pPr>
        <w:pStyle w:val="Normal"/>
        <w:widowControl w:val="false"/>
        <w:jc w:val="center"/>
        <w:rPr>
          <w:sz w:val="24"/>
        </w:rPr>
      </w:pPr>
      <w:r>
        <w:rPr>
          <w:sz w:val="24"/>
        </w:rPr>
        <w:t>Отчет</w:t>
      </w:r>
    </w:p>
    <w:p>
      <w:pPr>
        <w:pStyle w:val="Normal"/>
        <w:widowControl w:val="false"/>
        <w:jc w:val="center"/>
        <w:rPr>
          <w:sz w:val="24"/>
        </w:rPr>
      </w:pPr>
      <w:r>
        <w:rPr>
          <w:sz w:val="24"/>
        </w:rPr>
        <w:t>об объеме финансовых ресурсов</w:t>
      </w:r>
    </w:p>
    <w:p>
      <w:pPr>
        <w:pStyle w:val="Normal"/>
        <w:widowControl w:val="false"/>
        <w:tabs>
          <w:tab w:val="clear" w:pos="708"/>
          <w:tab w:val="center" w:pos="4607" w:leader="none"/>
          <w:tab w:val="left" w:pos="6901" w:leader="none"/>
        </w:tabs>
        <w:jc w:val="center"/>
        <w:rPr>
          <w:sz w:val="24"/>
        </w:rPr>
      </w:pPr>
      <w:r>
        <w:rPr>
          <w:sz w:val="24"/>
        </w:rPr>
        <w:t xml:space="preserve">муниципальной программы </w:t>
      </w:r>
    </w:p>
    <w:p>
      <w:pPr>
        <w:pStyle w:val="Normal"/>
        <w:widowControl w:val="false"/>
        <w:tabs>
          <w:tab w:val="clear" w:pos="708"/>
          <w:tab w:val="center" w:pos="4607" w:leader="none"/>
          <w:tab w:val="left" w:pos="6901" w:leader="none"/>
        </w:tabs>
        <w:jc w:val="center"/>
        <w:rPr>
          <w:sz w:val="24"/>
        </w:rPr>
      </w:pPr>
      <w:r>
        <w:rPr>
          <w:sz w:val="24"/>
        </w:rPr>
        <w:t>«Жилье»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sz w:val="24"/>
        </w:rPr>
      </w:pPr>
      <w:r>
        <w:rPr>
          <w:sz w:val="24"/>
        </w:rPr>
        <w:t>за 202</w:t>
      </w:r>
      <w:r>
        <w:rPr>
          <w:sz w:val="24"/>
        </w:rPr>
        <w:t>5</w:t>
      </w:r>
      <w:r>
        <w:rPr>
          <w:sz w:val="24"/>
        </w:rPr>
        <w:t xml:space="preserve"> год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sz w:val="24"/>
        </w:rPr>
      </w:pPr>
      <w:r>
        <w:rPr>
          <w:sz w:val="24"/>
        </w:rPr>
      </w:r>
    </w:p>
    <w:tbl>
      <w:tblPr>
        <w:tblStyle w:val="Style_1"/>
        <w:tblW w:w="10596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2004"/>
        <w:gridCol w:w="2449"/>
        <w:gridCol w:w="2311"/>
        <w:gridCol w:w="1792"/>
        <w:gridCol w:w="1526"/>
      </w:tblGrid>
      <w:tr>
        <w:trPr/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 xml:space="preserve">№ </w:t>
            </w:r>
            <w:r>
              <w:rPr>
                <w:color w:val="000000"/>
                <w:spacing w:val="0"/>
                <w:kern w:val="0"/>
                <w:sz w:val="22"/>
                <w:szCs w:val="20"/>
              </w:rPr>
              <w:t>п/п</w:t>
            </w:r>
          </w:p>
        </w:tc>
        <w:tc>
          <w:tcPr>
            <w:tcW w:w="2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Статус</w:t>
            </w:r>
          </w:p>
        </w:tc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 xml:space="preserve">Наименование </w:t>
            </w:r>
          </w:p>
        </w:tc>
        <w:tc>
          <w:tcPr>
            <w:tcW w:w="2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Источник финансирования</w:t>
            </w:r>
          </w:p>
        </w:tc>
        <w:tc>
          <w:tcPr>
            <w:tcW w:w="3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Объем финансовых ресурсов, тыс. рублей</w:t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3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202</w:t>
            </w:r>
            <w:r>
              <w:rPr>
                <w:color w:val="000000"/>
                <w:spacing w:val="0"/>
                <w:kern w:val="0"/>
                <w:sz w:val="22"/>
                <w:szCs w:val="20"/>
              </w:rPr>
              <w:t>5</w:t>
            </w:r>
            <w:r>
              <w:rPr>
                <w:color w:val="000000"/>
                <w:spacing w:val="0"/>
                <w:kern w:val="0"/>
                <w:sz w:val="22"/>
                <w:szCs w:val="20"/>
              </w:rPr>
              <w:t xml:space="preserve"> отчетный год</w:t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план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sz w:val="22"/>
              </w:rPr>
            </w:pPr>
            <w:r>
              <w:rPr>
                <w:b w:val="false"/>
                <w:color w:val="000000"/>
                <w:spacing w:val="0"/>
                <w:kern w:val="0"/>
                <w:sz w:val="22"/>
                <w:szCs w:val="20"/>
              </w:rPr>
              <w:t>кассовое исполнение</w:t>
            </w:r>
          </w:p>
        </w:tc>
      </w:tr>
      <w:tr>
        <w:trPr/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1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2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3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4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5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6</w:t>
            </w:r>
          </w:p>
        </w:tc>
      </w:tr>
      <w:tr>
        <w:trPr>
          <w:trHeight w:val="267" w:hRule="atLeast"/>
        </w:trPr>
        <w:tc>
          <w:tcPr>
            <w:tcW w:w="25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Муниципальная программа</w:t>
            </w:r>
          </w:p>
        </w:tc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2"/>
                <w:szCs w:val="20"/>
              </w:rPr>
              <w:t>«Жилье»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Всего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78 331,7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76 484,9</w:t>
            </w:r>
          </w:p>
        </w:tc>
      </w:tr>
      <w:tr>
        <w:trPr>
          <w:trHeight w:val="267" w:hRule="atLeast"/>
        </w:trPr>
        <w:tc>
          <w:tcPr>
            <w:tcW w:w="251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в том числе: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</w:tr>
      <w:tr>
        <w:trPr/>
        <w:tc>
          <w:tcPr>
            <w:tcW w:w="251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местный бюджет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8 461,2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8 461,2</w:t>
            </w:r>
          </w:p>
        </w:tc>
      </w:tr>
      <w:tr>
        <w:trPr>
          <w:trHeight w:val="756" w:hRule="atLeast"/>
        </w:trPr>
        <w:tc>
          <w:tcPr>
            <w:tcW w:w="251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</w:tr>
      <w:tr>
        <w:trPr/>
        <w:tc>
          <w:tcPr>
            <w:tcW w:w="251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областной бюджет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38 110,8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38 110,8</w:t>
            </w:r>
          </w:p>
        </w:tc>
      </w:tr>
      <w:tr>
        <w:trPr>
          <w:trHeight w:val="344" w:hRule="atLeast"/>
        </w:trPr>
        <w:tc>
          <w:tcPr>
            <w:tcW w:w="251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федеральный бюджет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10 848,5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10 848,5</w:t>
            </w:r>
          </w:p>
        </w:tc>
      </w:tr>
      <w:tr>
        <w:trPr>
          <w:trHeight w:val="344" w:hRule="atLeast"/>
        </w:trPr>
        <w:tc>
          <w:tcPr>
            <w:tcW w:w="251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внебюджетные источники (собственные (заемные) средства граждан)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16 615,9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16 615,9</w:t>
            </w:r>
          </w:p>
        </w:tc>
      </w:tr>
      <w:tr>
        <w:trPr>
          <w:trHeight w:val="344" w:hRule="atLeast"/>
        </w:trPr>
        <w:tc>
          <w:tcPr>
            <w:tcW w:w="251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средства Фонда содействия реформированию жилищно-коммунального хозяйства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4 295,3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2 448,5</w:t>
            </w:r>
          </w:p>
        </w:tc>
      </w:tr>
      <w:tr>
        <w:trPr/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1.</w:t>
            </w:r>
          </w:p>
        </w:tc>
        <w:tc>
          <w:tcPr>
            <w:tcW w:w="2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Мероприятие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2"/>
                <w:szCs w:val="20"/>
              </w:rPr>
              <w:t>«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  <w:r>
              <w:rPr>
                <w:color w:val="000000"/>
                <w:spacing w:val="0"/>
                <w:kern w:val="0"/>
                <w:sz w:val="22"/>
                <w:szCs w:val="20"/>
              </w:rPr>
              <w:t>»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Всего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34 647,7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34 647,7</w:t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в том числе: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местный бюджет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527,4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527,4</w:t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областной бюджет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26 281,4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26 281,4</w:t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федеральный бюджет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7 838,9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7 838,9</w:t>
            </w:r>
          </w:p>
        </w:tc>
      </w:tr>
      <w:tr>
        <w:trPr>
          <w:trHeight w:val="287" w:hRule="atLeast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2.</w:t>
            </w:r>
          </w:p>
        </w:tc>
        <w:tc>
          <w:tcPr>
            <w:tcW w:w="2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Мероприятие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«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Предоставление жилых помещений гражданам, состоящим на учете нуждающихся в жилых помещениях, предоставляемых по договорам социального найма, а также нуждающимся в жилых помещениях, предоставляемых по договорам специализированного (служебного, маневренного)  найма из муниципального жилого фонда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»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Всего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1 343,3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1 343,3</w:t>
            </w:r>
          </w:p>
        </w:tc>
      </w:tr>
      <w:tr>
        <w:trPr>
          <w:trHeight w:val="287" w:hRule="atLeast"/>
        </w:trPr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в том числе: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местный бюджет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1 343,3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1 343,3</w:t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областной бюджет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федеральный бюджет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287" w:hRule="atLeast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3.</w:t>
            </w:r>
          </w:p>
        </w:tc>
        <w:tc>
          <w:tcPr>
            <w:tcW w:w="2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Мероприятие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«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Переселение граждан из жилых помещений, признанных в установленном законном порядке непригодными для проживания и многоквартирных жилых домов, признанных аварийными и подлежащими сносу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»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Всего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287" w:hRule="atLeast"/>
        </w:trPr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в том числе: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местный бюджет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областной бюджет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федеральный бюджет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287" w:hRule="atLeast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4.</w:t>
            </w:r>
          </w:p>
        </w:tc>
        <w:tc>
          <w:tcPr>
            <w:tcW w:w="2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Мероприятие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«Предоставление социальных выплат гражданам на строительство индивидуальных жилых домов или приобретение жилых помещений на территории Прокопьевского муниципального округа»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Всего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287" w:hRule="atLeast"/>
        </w:trPr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в том числе: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местный бюджет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областной бюджет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федеральный бюджет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5.</w:t>
            </w:r>
          </w:p>
        </w:tc>
        <w:tc>
          <w:tcPr>
            <w:tcW w:w="2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Мероприятие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«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Обеспечение жильем молодых семей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»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38 045,4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38 045,4</w:t>
            </w:r>
          </w:p>
        </w:tc>
      </w:tr>
      <w:tr>
        <w:trPr>
          <w:trHeight w:val="240" w:hRule="atLeast"/>
        </w:trPr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в том числе: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6 590,5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6 590,5</w:t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областной бюджет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11 829,4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11 829,4</w:t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3 009,6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3 009,6</w:t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внебюджетные источники (собственные (заемные) средства граждан)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16 615,9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16 615,9</w:t>
            </w:r>
          </w:p>
        </w:tc>
      </w:tr>
      <w:tr>
        <w:trPr/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6.</w:t>
            </w:r>
          </w:p>
        </w:tc>
        <w:tc>
          <w:tcPr>
            <w:tcW w:w="2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Мероприятие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«Предоставление социальных выплат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 на улучшение жилищных условий граждан, проживающих на сельских территориях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»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в том числе: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областной бюджет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внебюджетные источники (собственные (заемные) средства граждан)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7.</w:t>
            </w:r>
          </w:p>
        </w:tc>
        <w:tc>
          <w:tcPr>
            <w:tcW w:w="2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Мероприятие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«Переселение граждан из аварийного жилищного фонда, признанного таковым до 01.01.2017, в рамках реализации региональной адресной программы «Переселение граждан из многоквартирных домов, признанных до 01.01.2017 в установленном порядке аварийными и подлежащими сносу или реконструкции», утвержденной постановлением Коллегии Администрации Кемеровской области от 29.03.2019 № 199 «Об утверждении региональной адресной программы «Переселение граждан из многоквартирных домов, признанных до 01.01.2017 в установленном порядке аварийными и подлежащими сносу или реконструкции» на 2019 - 2024 годы»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в том числе: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областной бюджет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средства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</w:tbl>
    <w:p>
      <w:pPr>
        <w:pStyle w:val="Normal"/>
        <w:rPr>
          <w:sz w:val="24"/>
        </w:rPr>
      </w:pPr>
      <w:r>
        <w:rPr>
          <w:sz w:val="24"/>
        </w:rPr>
        <w:t xml:space="preserve">      </w:t>
      </w:r>
    </w:p>
    <w:tbl>
      <w:tblPr>
        <w:tblStyle w:val="Style_1"/>
        <w:tblW w:w="10596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2004"/>
        <w:gridCol w:w="2449"/>
        <w:gridCol w:w="2311"/>
        <w:gridCol w:w="1792"/>
        <w:gridCol w:w="1527"/>
      </w:tblGrid>
      <w:tr>
        <w:trPr/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8</w:t>
            </w:r>
            <w:r>
              <w:rPr>
                <w:color w:val="000000"/>
                <w:spacing w:val="0"/>
                <w:kern w:val="0"/>
                <w:sz w:val="22"/>
                <w:szCs w:val="20"/>
              </w:rPr>
              <w:t>.</w:t>
            </w:r>
          </w:p>
        </w:tc>
        <w:tc>
          <w:tcPr>
            <w:tcW w:w="2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  <w:t>Мероприятие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2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lang w:val="ru-RU" w:eastAsia="zh-CN" w:bidi="hi-IN"/>
              </w:rPr>
              <w:t>Переселение граждан из аварийного жилищного фонда, признанного таковым после 01.01.2017, в рамках реализации региональной адресной программы «Переселение граждан из многоквартирных домов, признанных после 01.01.2017 в установленном порядке аварийными и подлежащими сносу или реконструкции» на 2025-2026 годы», утвержденной постановлением Правительства Кемеровской области-Кузбасса от 11.09.2025 № 561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4 295,3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2 448,5</w:t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в том числе: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областной бюджет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средства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4 295,3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2 448,5</w:t>
            </w:r>
          </w:p>
        </w:tc>
      </w:tr>
    </w:tbl>
    <w:p>
      <w:pPr>
        <w:pStyle w:val="Normal"/>
        <w:rPr>
          <w:sz w:val="24"/>
        </w:rPr>
      </w:pPr>
      <w:r>
        <w:rPr>
          <w:sz w:val="24"/>
        </w:rPr>
        <w:t xml:space="preserve">      </w:t>
      </w:r>
      <w:r>
        <w:rPr>
          <w:sz w:val="24"/>
        </w:rPr>
        <w:t xml:space="preserve">Директор программы, </w:t>
      </w:r>
    </w:p>
    <w:p>
      <w:pPr>
        <w:pStyle w:val="Normal"/>
        <w:rPr>
          <w:sz w:val="24"/>
        </w:rPr>
      </w:pPr>
      <w:r>
        <w:rPr>
          <w:sz w:val="24"/>
        </w:rPr>
        <w:t xml:space="preserve">      </w:t>
      </w:r>
      <w:r>
        <w:rPr>
          <w:sz w:val="24"/>
        </w:rPr>
        <w:t>заместитель главы округа                                                        Н.Ю. Степанова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sectPr>
          <w:type w:val="nextPage"/>
          <w:pgSz w:w="11906" w:h="16838"/>
          <w:pgMar w:left="567" w:right="567" w:gutter="0" w:header="0" w:top="425" w:footer="0" w:bottom="567"/>
          <w:pgNumType w:fmt="decimal"/>
          <w:formProt w:val="false"/>
          <w:textDirection w:val="lrTb"/>
          <w:docGrid w:type="default" w:linePitch="100" w:charSpace="8192"/>
        </w:sectPr>
        <w:pStyle w:val="Normal"/>
        <w:rPr/>
      </w:pPr>
      <w:r>
        <w:rPr/>
        <w:t xml:space="preserve">       </w:t>
      </w:r>
      <w:r>
        <w:rPr/>
        <w:t>Исп. А.В. Бушланова</w:t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jc w:val="right"/>
        <w:rPr/>
      </w:pPr>
      <w:r>
        <w:rPr/>
        <w:t xml:space="preserve">Приложение № 7 </w:t>
      </w:r>
    </w:p>
    <w:p>
      <w:pPr>
        <w:pStyle w:val="Normal"/>
        <w:widowControl w:val="false"/>
        <w:jc w:val="right"/>
        <w:rPr/>
      </w:pPr>
      <w:r>
        <w:rPr/>
        <w:t xml:space="preserve">к Положению о муниципальных </w:t>
      </w:r>
    </w:p>
    <w:p>
      <w:pPr>
        <w:pStyle w:val="Normal"/>
        <w:widowControl w:val="false"/>
        <w:jc w:val="right"/>
        <w:rPr/>
      </w:pPr>
      <w:r>
        <w:rPr/>
        <w:t xml:space="preserve">программах Прокопьевского </w:t>
      </w:r>
    </w:p>
    <w:p>
      <w:pPr>
        <w:pStyle w:val="Normal"/>
        <w:widowControl w:val="false"/>
        <w:jc w:val="right"/>
        <w:rPr/>
      </w:pPr>
      <w:r>
        <w:rPr/>
        <w:t>муниципального района</w:t>
      </w:r>
    </w:p>
    <w:p>
      <w:pPr>
        <w:pStyle w:val="Normal"/>
        <w:numPr>
          <w:ilvl w:val="0"/>
          <w:numId w:val="0"/>
        </w:numPr>
        <w:ind w:hanging="0" w:left="709" w:right="0"/>
        <w:jc w:val="center"/>
        <w:outlineLvl w:val="0"/>
        <w:rPr>
          <w:sz w:val="24"/>
        </w:rPr>
      </w:pPr>
      <w:r>
        <w:rPr>
          <w:sz w:val="24"/>
        </w:rPr>
        <w:t>Отчет</w:t>
      </w:r>
    </w:p>
    <w:p>
      <w:pPr>
        <w:pStyle w:val="Normal"/>
        <w:numPr>
          <w:ilvl w:val="0"/>
          <w:numId w:val="0"/>
        </w:numPr>
        <w:ind w:hanging="0" w:left="709" w:right="0"/>
        <w:jc w:val="center"/>
        <w:outlineLvl w:val="0"/>
        <w:rPr>
          <w:sz w:val="24"/>
        </w:rPr>
      </w:pPr>
      <w:r>
        <w:rPr>
          <w:sz w:val="24"/>
        </w:rPr>
        <w:t>о достижении значений целевых показателях (индикаторах)</w:t>
      </w:r>
    </w:p>
    <w:p>
      <w:pPr>
        <w:pStyle w:val="Normal"/>
        <w:numPr>
          <w:ilvl w:val="0"/>
          <w:numId w:val="0"/>
        </w:numPr>
        <w:ind w:hanging="0" w:left="709" w:right="0"/>
        <w:jc w:val="center"/>
        <w:outlineLvl w:val="0"/>
        <w:rPr>
          <w:sz w:val="24"/>
        </w:rPr>
      </w:pPr>
      <w:r>
        <w:rPr>
          <w:sz w:val="24"/>
        </w:rPr>
        <w:t>муниципальной программы «Жилье»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sz w:val="24"/>
        </w:rPr>
      </w:pPr>
      <w:r>
        <w:rPr>
          <w:sz w:val="24"/>
        </w:rPr>
        <w:t xml:space="preserve">                </w:t>
      </w:r>
      <w:r>
        <w:rPr>
          <w:sz w:val="24"/>
        </w:rPr>
        <w:t>за 202</w:t>
      </w:r>
      <w:r>
        <w:rPr>
          <w:sz w:val="24"/>
        </w:rPr>
        <w:t>5</w:t>
      </w:r>
      <w:r>
        <w:rPr>
          <w:sz w:val="24"/>
        </w:rPr>
        <w:t xml:space="preserve"> год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/>
      </w:pPr>
      <w:r>
        <w:rPr/>
        <w:t xml:space="preserve">                    </w:t>
      </w:r>
    </w:p>
    <w:tbl>
      <w:tblPr>
        <w:tblStyle w:val="Style_1"/>
        <w:tblW w:w="15608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0"/>
        <w:gridCol w:w="3679"/>
        <w:gridCol w:w="1560"/>
        <w:gridCol w:w="1744"/>
        <w:gridCol w:w="1232"/>
        <w:gridCol w:w="1336"/>
        <w:gridCol w:w="2066"/>
      </w:tblGrid>
      <w:tr>
        <w:trPr>
          <w:trHeight w:val="345" w:hRule="atLeast"/>
        </w:trPr>
        <w:tc>
          <w:tcPr>
            <w:tcW w:w="3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Наименование </w:t>
              <w:br/>
              <w:t xml:space="preserve">муниципальной </w:t>
              <w:br/>
              <w:t>программы, ее</w:t>
              <w:br/>
              <w:t>мероприятий</w:t>
            </w:r>
          </w:p>
        </w:tc>
        <w:tc>
          <w:tcPr>
            <w:tcW w:w="3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Единица измерения</w:t>
            </w:r>
          </w:p>
        </w:tc>
        <w:tc>
          <w:tcPr>
            <w:tcW w:w="4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Значение целевого показателя (индикатора)</w:t>
            </w:r>
          </w:p>
        </w:tc>
        <w:tc>
          <w:tcPr>
            <w:tcW w:w="2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Обоснование отклонений значений целевого показателя (индикатора) на конец отчетного года (при наличии)</w:t>
            </w:r>
          </w:p>
        </w:tc>
      </w:tr>
      <w:tr>
        <w:trPr>
          <w:trHeight w:val="496" w:hRule="atLeast"/>
        </w:trPr>
        <w:tc>
          <w:tcPr>
            <w:tcW w:w="3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36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фактическое исполнение                 за год, предшествующий отчетному</w:t>
            </w: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отчетный 202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>5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 год</w:t>
            </w:r>
          </w:p>
        </w:tc>
        <w:tc>
          <w:tcPr>
            <w:tcW w:w="20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404" w:hRule="atLeast"/>
        </w:trPr>
        <w:tc>
          <w:tcPr>
            <w:tcW w:w="3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36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План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Факт (при наличии)</w:t>
            </w:r>
          </w:p>
        </w:tc>
        <w:tc>
          <w:tcPr>
            <w:tcW w:w="20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1200" w:hRule="atLeast"/>
        </w:trPr>
        <w:tc>
          <w:tcPr>
            <w:tcW w:w="3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Муниципальная программа «Жилье»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Общая площадь предоставленных (приобретенных) жилых помещений (в том числе за счет высвободившихся жилых помещений)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квадратных метров общей площади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2 774,0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2 294,7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2 294,7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-</w:t>
            </w:r>
          </w:p>
        </w:tc>
      </w:tr>
      <w:tr>
        <w:trPr>
          <w:trHeight w:val="991" w:hRule="atLeast"/>
        </w:trPr>
        <w:tc>
          <w:tcPr>
            <w:tcW w:w="3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Количество семей, обеспеченных жилыми помещениями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семей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49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49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-</w:t>
            </w:r>
          </w:p>
        </w:tc>
      </w:tr>
      <w:tr>
        <w:trPr>
          <w:trHeight w:val="1037" w:hRule="atLeast"/>
        </w:trPr>
        <w:tc>
          <w:tcPr>
            <w:tcW w:w="3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 Мероприятие 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Предоставлено жилых помещений, квадратных метров общей площади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квадратных метров общей площади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654,7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628,0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628,0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-</w:t>
            </w:r>
          </w:p>
        </w:tc>
      </w:tr>
      <w:tr>
        <w:trPr>
          <w:trHeight w:val="1126" w:hRule="atLeast"/>
        </w:trPr>
        <w:tc>
          <w:tcPr>
            <w:tcW w:w="3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Количество граждан, обеспеченных жилыми помещениями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-</w:t>
            </w:r>
          </w:p>
        </w:tc>
      </w:tr>
      <w:tr>
        <w:trPr>
          <w:trHeight w:val="992" w:hRule="atLeast"/>
        </w:trPr>
        <w:tc>
          <w:tcPr>
            <w:tcW w:w="3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2. Мероприятие «Предоставление жилых помещений гражданам, состоящим на учете нуждающихся в жилых помещениях, предоставляемых по договорам социального найма, а также нуждающимся в жилых помещениях, предоставляемых по договорам специализированного (служебного, маневренного)  найма из муниципального жилого фонда»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Общая площадь предоставленных жилых помещений по договорам  найма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квадратных метров общей площади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959,0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-</w:t>
            </w:r>
          </w:p>
        </w:tc>
      </w:tr>
      <w:tr>
        <w:trPr>
          <w:trHeight w:val="348" w:hRule="atLeast"/>
        </w:trPr>
        <w:tc>
          <w:tcPr>
            <w:tcW w:w="3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19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-</w:t>
            </w:r>
          </w:p>
        </w:tc>
      </w:tr>
      <w:tr>
        <w:trPr>
          <w:trHeight w:val="1241" w:hRule="atLeast"/>
        </w:trPr>
        <w:tc>
          <w:tcPr>
            <w:tcW w:w="3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по договорам социального найма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квадратных метров общей площади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366,1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-</w:t>
            </w:r>
          </w:p>
        </w:tc>
      </w:tr>
      <w:tr>
        <w:trPr>
          <w:trHeight w:val="821" w:hRule="atLeast"/>
        </w:trPr>
        <w:tc>
          <w:tcPr>
            <w:tcW w:w="3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по договорам специализированного найма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квадратных метров общей площади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592,9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-</w:t>
            </w:r>
          </w:p>
        </w:tc>
      </w:tr>
      <w:tr>
        <w:trPr>
          <w:trHeight w:val="200" w:hRule="atLeast"/>
        </w:trPr>
        <w:tc>
          <w:tcPr>
            <w:tcW w:w="3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739,7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739,7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821" w:hRule="atLeast"/>
        </w:trPr>
        <w:tc>
          <w:tcPr>
            <w:tcW w:w="3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по договорам специализированного (служебного) найма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квадратных метров общей площади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562,0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821" w:hRule="atLeast"/>
        </w:trPr>
        <w:tc>
          <w:tcPr>
            <w:tcW w:w="3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по договорам специализированного (маневренного) найма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квадратных метров общей площади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30,9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727" w:hRule="atLeast"/>
        </w:trPr>
        <w:tc>
          <w:tcPr>
            <w:tcW w:w="3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Количество семей, обеспеченных жилыми помещениями по договорам найма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семей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23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3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162,1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162,1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-</w:t>
            </w:r>
          </w:p>
        </w:tc>
      </w:tr>
      <w:tr>
        <w:trPr>
          <w:trHeight w:val="228" w:hRule="atLeast"/>
        </w:trPr>
        <w:tc>
          <w:tcPr>
            <w:tcW w:w="3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по договорам социального найма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семей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577,6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577,6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607" w:hRule="atLeast"/>
        </w:trPr>
        <w:tc>
          <w:tcPr>
            <w:tcW w:w="3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по договорам специализированного найма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семей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12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14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-</w:t>
            </w:r>
          </w:p>
        </w:tc>
      </w:tr>
      <w:tr>
        <w:trPr>
          <w:trHeight w:val="607" w:hRule="atLeast"/>
        </w:trPr>
        <w:tc>
          <w:tcPr>
            <w:tcW w:w="3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по договорам специализированного (служебного) найма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семей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607" w:hRule="atLeast"/>
        </w:trPr>
        <w:tc>
          <w:tcPr>
            <w:tcW w:w="3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по договорам специализированного (маневренного) найма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семей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1388" w:hRule="atLeast"/>
        </w:trPr>
        <w:tc>
          <w:tcPr>
            <w:tcW w:w="3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3. Мероприятие «Переселение граждан из жилых помещений, признанных в установленном законном порядке непригодными для проживания и многоквартирных жилых домов, признанных аварийными и подлежащими сносу»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Общая площадь предоставленных жилых помещений по договорам социального  найма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квадратных метров общей площади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0,0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-</w:t>
            </w:r>
          </w:p>
        </w:tc>
      </w:tr>
      <w:tr>
        <w:trPr>
          <w:trHeight w:val="851" w:hRule="atLeast"/>
        </w:trPr>
        <w:tc>
          <w:tcPr>
            <w:tcW w:w="3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Количество семей, обеспеченных жилыми помещениями по договорам социального найма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семей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-</w:t>
            </w:r>
          </w:p>
        </w:tc>
      </w:tr>
      <w:tr>
        <w:trPr>
          <w:trHeight w:val="1434" w:hRule="atLeast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4. Мероприятие «Предоставление социальных выплат гражданам на строительство индивидуальных жилых домов или приобретение жилых помещений на территории Прокопьевского муниципального округа»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Количество семей, обеспеченных социальной выплатой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семей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1156" w:hRule="atLeast"/>
        </w:trPr>
        <w:tc>
          <w:tcPr>
            <w:tcW w:w="3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5. Мероприятие «Предоставление социальных выплат молодым семьям на приобретение жилого помещения или создание объекта индивидуального жилищного строительства»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Общая площадь приобретенных жилых помещений или созданных объектов индивидуального жилищного строительства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квадратных метров общей площади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1 049,7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-</w:t>
            </w:r>
          </w:p>
        </w:tc>
      </w:tr>
      <w:tr>
        <w:trPr>
          <w:trHeight w:val="1414" w:hRule="atLeast"/>
        </w:trPr>
        <w:tc>
          <w:tcPr>
            <w:tcW w:w="3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Количество семей, получивших свидетельства о праве на получение социальной выплаты на приобретение жилого помещения или создание объекта индивидуального жилищного строительств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семей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13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-</w:t>
            </w:r>
          </w:p>
        </w:tc>
      </w:tr>
      <w:tr>
        <w:trPr>
          <w:trHeight w:val="1108" w:hRule="atLeast"/>
        </w:trPr>
        <w:tc>
          <w:tcPr>
            <w:tcW w:w="3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6. Мероприятие «Предоставление социальных выплат на улучшение жилищных условий гражданам, проживающим на сельских территориях»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Общая площадь приобретенных жилых помещений или созданных объектов индивидуального жилищного строительства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квадратных метров общей площади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0,0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-</w:t>
            </w:r>
          </w:p>
        </w:tc>
      </w:tr>
      <w:tr>
        <w:trPr>
          <w:trHeight w:val="1422" w:hRule="atLeast"/>
        </w:trPr>
        <w:tc>
          <w:tcPr>
            <w:tcW w:w="3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Количество семей, получивших свидетельства о праве на получение социальной выплаты на приобретение жилого помещения или создание объекта индивидуального жилищного строительств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семей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-</w:t>
            </w:r>
          </w:p>
        </w:tc>
      </w:tr>
      <w:tr>
        <w:trPr>
          <w:trHeight w:val="1248" w:hRule="atLeast"/>
        </w:trPr>
        <w:tc>
          <w:tcPr>
            <w:tcW w:w="3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7. Мероприятие «Переселение граждан из аварийного жилищного фонда, признанного таковым до 01.01.2017, в рамках реализации региональной адресной программы «Переселение граждан из многоквартирных домов, признанных до 01.01.2017 в установленном порядке аварийными и подлежащими сносу или реконструкции», утвержденной постановлением Коллегии Администрации Кемеровской области от 29.03.2019 № 199 «Об утверждении региональной адресной программы «Переселение граждан из многоквартирных домов, признанных до 01.01.2017 в установленном порядке аварийными и подлежащими сносу или реконструкции» на 2019 - 2024 годы»</w:t>
            </w:r>
          </w:p>
        </w:tc>
        <w:tc>
          <w:tcPr>
            <w:tcW w:w="3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Общая площадь предоставленных жилых помещений по договорам социального  найма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Количество семей, обеспеченных жилыми помещениями по договорам социального найма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квадратных метров общей площади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111,3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-</w:t>
            </w:r>
          </w:p>
        </w:tc>
      </w:tr>
      <w:tr>
        <w:trPr>
          <w:trHeight w:val="2316" w:hRule="atLeast"/>
        </w:trPr>
        <w:tc>
          <w:tcPr>
            <w:tcW w:w="3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36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семей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-</w:t>
            </w:r>
          </w:p>
        </w:tc>
      </w:tr>
      <w:tr>
        <w:trPr>
          <w:trHeight w:val="1135" w:hRule="atLeast"/>
        </w:trPr>
        <w:tc>
          <w:tcPr>
            <w:tcW w:w="39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8. Мероприятие «Переселение граждан из аварийного жилищного фонда, признанного таковым после 01.01.2017, в рамках реализации региональной адресной программы «Переселение граждан из многоквартирных домов, признанных после 01.01.2017 в установленном порядке аварийными и подлежащими сносу или реконструкции» на 2025-2026 годы», утвержденной постановлением Правительства Кемеровской области-Кузбасса от 11.09.2025 № 561.</w:t>
            </w:r>
          </w:p>
        </w:tc>
        <w:tc>
          <w:tcPr>
            <w:tcW w:w="3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Общая площадь предоставленных жилых помещений по договорам социального  найма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квадратных метров общей площади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-</w:t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44,1</w:t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44,1</w:t>
            </w:r>
          </w:p>
        </w:tc>
        <w:tc>
          <w:tcPr>
            <w:tcW w:w="2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-</w:t>
            </w:r>
          </w:p>
        </w:tc>
      </w:tr>
      <w:tr>
        <w:trPr>
          <w:trHeight w:val="851" w:hRule="atLeast"/>
        </w:trPr>
        <w:tc>
          <w:tcPr>
            <w:tcW w:w="39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3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Количество семей, обеспеченных жилыми помещениями по договорам социального найма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семей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-</w:t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-</w:t>
            </w:r>
          </w:p>
        </w:tc>
      </w:tr>
    </w:tbl>
    <w:p>
      <w:pPr>
        <w:pStyle w:val="Normal"/>
        <w:rPr>
          <w:sz w:val="24"/>
        </w:rPr>
      </w:pPr>
      <w:r>
        <w:rPr>
          <w:sz w:val="28"/>
        </w:rPr>
        <w:t xml:space="preserve">                        </w:t>
      </w:r>
      <w:r>
        <w:rPr>
          <w:sz w:val="24"/>
        </w:rPr>
        <w:t xml:space="preserve">                           </w:t>
      </w:r>
    </w:p>
    <w:p>
      <w:pPr>
        <w:pStyle w:val="Normal"/>
        <w:rPr>
          <w:sz w:val="24"/>
        </w:rPr>
      </w:pPr>
      <w:r>
        <w:rPr>
          <w:sz w:val="24"/>
        </w:rPr>
        <w:t>Директор программы,</w:t>
      </w:r>
    </w:p>
    <w:p>
      <w:pPr>
        <w:pStyle w:val="Normal"/>
        <w:rPr>
          <w:sz w:val="24"/>
        </w:rPr>
      </w:pPr>
      <w:r>
        <w:rPr>
          <w:sz w:val="24"/>
        </w:rPr>
        <w:t>заместитель главы округа                              Н.Ю. Степанова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/>
        <w:t>Исп. А.В. Бушланова</w:t>
      </w:r>
    </w:p>
    <w:sectPr>
      <w:type w:val="nextPage"/>
      <w:pgSz w:orient="landscape" w:w="16838" w:h="11906"/>
      <w:pgMar w:left="567" w:right="567" w:gutter="0" w:header="0" w:top="425" w:footer="0" w:bottom="567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auto"/>
    <w:pitch w:val="default"/>
  </w:font>
  <w:font w:name="Times New Roman">
    <w:charset w:val="01"/>
    <w:family w:val="auto"/>
    <w:pitch w:val="default"/>
  </w:font>
  <w:font w:name="XO Thames">
    <w:charset w:val="01"/>
    <w:family w:val="auto"/>
    <w:pitch w:val="default"/>
  </w:font>
  <w:font w:name="Tahoma">
    <w:charset w:val="01"/>
    <w:family w:val="auto"/>
    <w:pitch w:val="default"/>
  </w:font>
  <w:font w:name="Arial">
    <w:charset w:val="01"/>
    <w:family w:val="auto"/>
    <w:pitch w:val="default"/>
  </w:font>
  <w:font w:name="Verdana">
    <w:charset w:val="01"/>
    <w:family w:val="auto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DefaultParagraphFont">
    <w:name w:val="Default Paragraph Font"/>
    <w:link w:val="DefaultParagraphFont1"/>
    <w:qFormat/>
    <w:rPr/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ConsPlusNormal">
    <w:name w:val="ConsPlusNormal"/>
    <w:link w:val="ConsPlusNormal1"/>
    <w:qFormat/>
    <w:rPr>
      <w:rFonts w:ascii="Arial" w:hAnsi="Arial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CharChar">
    <w:name w:val="Знак Знак Знак Char Char Знак Знак Знак Знак Знак Знак Знак Знак Знак Знак Знак Знак"/>
    <w:link w:val="CharChar1"/>
    <w:qFormat/>
    <w:rPr>
      <w:rFonts w:ascii="Verdana" w:hAnsi="Verdana"/>
    </w:rPr>
  </w:style>
  <w:style w:type="character" w:styleId="Title1">
    <w:name w:val="Title1"/>
    <w:qFormat/>
    <w:rPr>
      <w:rFonts w:ascii="Arial" w:hAnsi="Arial"/>
      <w:b/>
      <w:sz w:val="32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Strong">
    <w:name w:val="Strong"/>
    <w:qFormat/>
    <w:rPr>
      <w:b/>
      <w:bCs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erandFooter1">
    <w:name w:val="Header and Footer1"/>
    <w:link w:val="HeaderandFooter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1">
    <w:name w:val="ConsPlusNormal1"/>
    <w:link w:val="ConsPlusNormal"/>
    <w:qFormat/>
    <w:pPr>
      <w:widowControl w:val="false"/>
      <w:bidi w:val="0"/>
      <w:spacing w:lineRule="auto" w:line="240" w:before="0" w:after="0"/>
      <w:ind w:firstLine="720" w:left="0" w:right="0"/>
      <w:jc w:val="left"/>
    </w:pPr>
    <w:rPr>
      <w:rFonts w:ascii="Arial" w:hAnsi="Aria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CharChar1">
    <w:name w:val="Знак Знак Знак Char Char Знак Знак Знак Знак Знак Знак Знак Знак Знак Знак Знак Знак1"/>
    <w:basedOn w:val="Normal"/>
    <w:link w:val="CharChar"/>
    <w:qFormat/>
    <w:pPr>
      <w:tabs>
        <w:tab w:val="clear" w:pos="708"/>
        <w:tab w:val="left" w:pos="720" w:leader="none"/>
      </w:tabs>
      <w:spacing w:lineRule="exact" w:line="240" w:before="0" w:after="160"/>
      <w:ind w:hanging="720" w:left="720"/>
      <w:jc w:val="both"/>
    </w:pPr>
    <w:rPr>
      <w:rFonts w:ascii="Verdana" w:hAnsi="Verdana"/>
    </w:rPr>
  </w:style>
  <w:style w:type="paragraph" w:styleId="Title">
    <w:name w:val="Title"/>
    <w:basedOn w:val="Normal"/>
    <w:uiPriority w:val="10"/>
    <w:qFormat/>
    <w:pPr>
      <w:spacing w:lineRule="auto" w:line="360" w:before="120" w:after="0"/>
      <w:ind w:right="4670"/>
      <w:jc w:val="center"/>
    </w:pPr>
    <w:rPr>
      <w:rFonts w:ascii="Arial" w:hAnsi="Arial"/>
      <w:b/>
      <w:sz w:val="32"/>
    </w:rPr>
  </w:style>
  <w:style w:type="paragraph" w:styleId="Style11">
    <w:name w:val="Содержимое таблицы"/>
    <w:basedOn w:val="Normal"/>
    <w:qFormat/>
    <w:pPr>
      <w:widowControl w:val="false"/>
      <w:suppressLineNumbers/>
    </w:pPr>
    <w:rPr/>
  </w:style>
  <w:style w:type="paragraph" w:styleId="Style12">
    <w:name w:val="Заголовок таблицы"/>
    <w:basedOn w:val="Style11"/>
    <w:qFormat/>
    <w:pPr>
      <w:suppressLineNumbers/>
      <w:jc w:val="center"/>
    </w:pPr>
    <w:rPr>
      <w:b/>
      <w:bCs/>
    </w:rPr>
  </w:style>
  <w:style w:type="paragraph" w:styleId="ConsPlusNormal2">
    <w:name w:val="ConsPlusNormal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Arial" w:cs="Courier New"/>
      <w:color w:val="000000"/>
      <w:spacing w:val="0"/>
      <w:kern w:val="0"/>
      <w:sz w:val="16"/>
      <w:szCs w:val="24"/>
      <w:lang w:val="ru-RU" w:eastAsia="zh-CN" w:bidi="hi-IN"/>
    </w:rPr>
  </w:style>
  <w:style w:type="table" w:default="1" w:styleId="Style_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27">
    <w:name w:val="Table Grid"/>
    <w:basedOn w:val="Style_1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Application>LibreOffice/24.8.4.2$Linux_X86_64 LibreOffice_project/480$Build-2</Application>
  <AppVersion>15.0000</AppVersion>
  <Pages>8</Pages>
  <Words>1269</Words>
  <Characters>8705</Characters>
  <CharactersWithSpaces>9868</CharactersWithSpaces>
  <Paragraphs>353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2026-03-19T09:59:15Z</dcterms:modified>
  <cp:revision>2</cp:revision>
  <dc:subject/>
  <dc:title/>
</cp:coreProperties>
</file>