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ИСПОЛНЕНИЕ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«Образование» Прокопьевского муниципального округа на 2021-2027 годы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Приложение № 7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Отчет о достижении значений целевых показателей (индикаторов) муниципальной программы «Образование» Прокопьевского муниципального округа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за 2025 год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tbl>
      <w:tblPr>
        <w:tblStyle w:val="a3"/>
        <w:tblW w:w="134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12"/>
        <w:gridCol w:w="4529"/>
        <w:gridCol w:w="1308"/>
        <w:gridCol w:w="1651"/>
        <w:gridCol w:w="1359"/>
        <w:gridCol w:w="1409"/>
        <w:gridCol w:w="2645"/>
      </w:tblGrid>
      <w:tr>
        <w:trPr/>
        <w:tc>
          <w:tcPr>
            <w:tcW w:w="512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№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4529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Наименование целевого показателя (индикатора)</w:t>
            </w:r>
          </w:p>
        </w:tc>
        <w:tc>
          <w:tcPr>
            <w:tcW w:w="130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Единица измерения</w:t>
            </w:r>
          </w:p>
        </w:tc>
        <w:tc>
          <w:tcPr>
            <w:tcW w:w="4419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Значение целевого показателя (индикатора)</w:t>
            </w:r>
          </w:p>
        </w:tc>
        <w:tc>
          <w:tcPr>
            <w:tcW w:w="2645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Обоснование отклонений значений целевого показателя (индикатора) на конец отчетного года (при наличии)</w:t>
            </w:r>
          </w:p>
        </w:tc>
      </w:tr>
      <w:tr>
        <w:trPr/>
        <w:tc>
          <w:tcPr>
            <w:tcW w:w="51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2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51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Фактическое исполнение за 2024 г</w:t>
            </w:r>
          </w:p>
        </w:tc>
        <w:tc>
          <w:tcPr>
            <w:tcW w:w="2768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Отчетный год</w:t>
            </w:r>
          </w:p>
        </w:tc>
        <w:tc>
          <w:tcPr>
            <w:tcW w:w="264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619" w:hRule="atLeast"/>
        </w:trPr>
        <w:tc>
          <w:tcPr>
            <w:tcW w:w="51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2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План 2025 г</w:t>
            </w:r>
          </w:p>
        </w:tc>
        <w:tc>
          <w:tcPr>
            <w:tcW w:w="1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Факт 2025 г</w:t>
            </w:r>
          </w:p>
        </w:tc>
        <w:tc>
          <w:tcPr>
            <w:tcW w:w="264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399" w:hRule="atLeast"/>
        </w:trPr>
        <w:tc>
          <w:tcPr>
            <w:tcW w:w="13413" w:type="dxa"/>
            <w:gridSpan w:val="7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en-US" w:bidi="ar-SA"/>
              </w:rPr>
              <w:t>Муниципальная программа «Образование» Прокопьевского муниципального округа</w:t>
            </w:r>
          </w:p>
        </w:tc>
      </w:tr>
      <w:tr>
        <w:trPr/>
        <w:tc>
          <w:tcPr>
            <w:tcW w:w="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</w:t>
            </w:r>
          </w:p>
        </w:tc>
        <w:tc>
          <w:tcPr>
            <w:tcW w:w="45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Соответствие выполненных мероприятий запланированным мероприятиям</w:t>
            </w:r>
          </w:p>
        </w:tc>
        <w:tc>
          <w:tcPr>
            <w:tcW w:w="13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%</w:t>
            </w:r>
          </w:p>
        </w:tc>
        <w:tc>
          <w:tcPr>
            <w:tcW w:w="16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3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4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96,3</w:t>
            </w:r>
          </w:p>
        </w:tc>
        <w:tc>
          <w:tcPr>
            <w:tcW w:w="26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410" w:hRule="atLeast"/>
        </w:trPr>
        <w:tc>
          <w:tcPr>
            <w:tcW w:w="13413" w:type="dxa"/>
            <w:gridSpan w:val="7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en-US" w:bidi="ar-SA"/>
              </w:rPr>
              <w:t>Подпрограмма «Обеспечение деятельности образовательных учреждений»</w:t>
            </w:r>
          </w:p>
        </w:tc>
      </w:tr>
      <w:tr>
        <w:trPr>
          <w:trHeight w:val="638" w:hRule="atLeast"/>
        </w:trPr>
        <w:tc>
          <w:tcPr>
            <w:tcW w:w="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Соответствие выполненных мероприятий запланированным мероприятиям</w:t>
            </w:r>
          </w:p>
        </w:tc>
        <w:tc>
          <w:tcPr>
            <w:tcW w:w="13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%</w:t>
            </w:r>
          </w:p>
        </w:tc>
        <w:tc>
          <w:tcPr>
            <w:tcW w:w="16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3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4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26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703" w:hRule="atLeast"/>
        </w:trPr>
        <w:tc>
          <w:tcPr>
            <w:tcW w:w="13413" w:type="dxa"/>
            <w:gridSpan w:val="7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1.1 Мероприятие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«Расходы на выплаты персоналу в целях обеспечения выполнения функций государственными (муниципальными) органами, казенными учреждениями»</w:t>
            </w:r>
          </w:p>
        </w:tc>
      </w:tr>
      <w:tr>
        <w:trPr>
          <w:trHeight w:val="542" w:hRule="atLeast"/>
        </w:trPr>
        <w:tc>
          <w:tcPr>
            <w:tcW w:w="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Среднемесячная номинальная начисленная заработная плата работников ДОУ</w:t>
            </w:r>
          </w:p>
        </w:tc>
        <w:tc>
          <w:tcPr>
            <w:tcW w:w="13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рублей</w:t>
            </w:r>
          </w:p>
        </w:tc>
        <w:tc>
          <w:tcPr>
            <w:tcW w:w="16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42945,5</w:t>
            </w:r>
          </w:p>
        </w:tc>
        <w:tc>
          <w:tcPr>
            <w:tcW w:w="13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43000,0</w:t>
            </w:r>
          </w:p>
        </w:tc>
        <w:tc>
          <w:tcPr>
            <w:tcW w:w="14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46790,3</w:t>
            </w:r>
          </w:p>
        </w:tc>
        <w:tc>
          <w:tcPr>
            <w:tcW w:w="26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507" w:hRule="atLeast"/>
        </w:trPr>
        <w:tc>
          <w:tcPr>
            <w:tcW w:w="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Среднемесячная номинальная начисленная заработная плата работников МОУ</w:t>
            </w:r>
          </w:p>
        </w:tc>
        <w:tc>
          <w:tcPr>
            <w:tcW w:w="13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рублей</w:t>
            </w:r>
          </w:p>
        </w:tc>
        <w:tc>
          <w:tcPr>
            <w:tcW w:w="16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55328,2</w:t>
            </w:r>
          </w:p>
        </w:tc>
        <w:tc>
          <w:tcPr>
            <w:tcW w:w="13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55300</w:t>
            </w:r>
          </w:p>
        </w:tc>
        <w:tc>
          <w:tcPr>
            <w:tcW w:w="14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56218,5</w:t>
            </w:r>
          </w:p>
        </w:tc>
        <w:tc>
          <w:tcPr>
            <w:tcW w:w="26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677" w:hRule="atLeast"/>
        </w:trPr>
        <w:tc>
          <w:tcPr>
            <w:tcW w:w="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Среднемесячная номинальная начисленная заработная плата учителей МОУ</w:t>
            </w:r>
          </w:p>
        </w:tc>
        <w:tc>
          <w:tcPr>
            <w:tcW w:w="13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рублей</w:t>
            </w:r>
          </w:p>
        </w:tc>
        <w:tc>
          <w:tcPr>
            <w:tcW w:w="16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59998,7</w:t>
            </w:r>
          </w:p>
        </w:tc>
        <w:tc>
          <w:tcPr>
            <w:tcW w:w="13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58800</w:t>
            </w:r>
          </w:p>
        </w:tc>
        <w:tc>
          <w:tcPr>
            <w:tcW w:w="14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58882,6</w:t>
            </w:r>
          </w:p>
        </w:tc>
        <w:tc>
          <w:tcPr>
            <w:tcW w:w="26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984" w:hRule="atLeast"/>
        </w:trPr>
        <w:tc>
          <w:tcPr>
            <w:tcW w:w="13413" w:type="dxa"/>
            <w:gridSpan w:val="7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4"/>
                <w:lang w:val="ru-RU" w:eastAsia="en-US" w:bidi="ar-SA"/>
              </w:rPr>
              <w:t>1.2 Мероприятие «Обеспечение выплат ежемесячного денежного вознаграждения за классное руководство педагогическим работникам государственных образовательных организаций и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программы»</w:t>
            </w:r>
          </w:p>
        </w:tc>
      </w:tr>
      <w:tr>
        <w:trPr>
          <w:trHeight w:val="1981" w:hRule="atLeast"/>
        </w:trPr>
        <w:tc>
          <w:tcPr>
            <w:tcW w:w="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Доля педагогических работников муниципальных общеобразовательных организаций, получающих ежемесячное вознаграждение за классное руководство, в общей численности педагогических работников, осуществляющих классное руководство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%</w:t>
            </w:r>
          </w:p>
        </w:tc>
        <w:tc>
          <w:tcPr>
            <w:tcW w:w="16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3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4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26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656" w:hRule="atLeast"/>
        </w:trPr>
        <w:tc>
          <w:tcPr>
            <w:tcW w:w="13413" w:type="dxa"/>
            <w:gridSpan w:val="7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1.3 Мероприятие «Проведение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организациях»</w:t>
            </w:r>
          </w:p>
        </w:tc>
      </w:tr>
      <w:tr>
        <w:trPr>
          <w:trHeight w:val="1412" w:hRule="atLeast"/>
        </w:trPr>
        <w:tc>
          <w:tcPr>
            <w:tcW w:w="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Доля общеобразовательных организаций, в которых введена ставка советника директора по воспитанию и взаимодействию с детскими общественными объединениями, в общем количестве общеобразовательных организаций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%</w:t>
            </w:r>
          </w:p>
        </w:tc>
        <w:tc>
          <w:tcPr>
            <w:tcW w:w="16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52,4</w:t>
            </w:r>
          </w:p>
        </w:tc>
        <w:tc>
          <w:tcPr>
            <w:tcW w:w="13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52,4</w:t>
            </w:r>
          </w:p>
        </w:tc>
        <w:tc>
          <w:tcPr>
            <w:tcW w:w="14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52,4</w:t>
            </w:r>
          </w:p>
        </w:tc>
        <w:tc>
          <w:tcPr>
            <w:tcW w:w="26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991" w:hRule="atLeast"/>
        </w:trPr>
        <w:tc>
          <w:tcPr>
            <w:tcW w:w="13413" w:type="dxa"/>
            <w:gridSpan w:val="7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1.4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. Мероприятие «Обеспечение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и муниципальных образовательных организаций»</w:t>
            </w:r>
          </w:p>
        </w:tc>
      </w:tr>
      <w:tr>
        <w:trPr>
          <w:trHeight w:val="2501" w:hRule="atLeast"/>
        </w:trPr>
        <w:tc>
          <w:tcPr>
            <w:tcW w:w="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2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Доля педагогических работников, трудоустроенных на должность советника директора по воспитанию и взаимодействию с детскими общественными объединениями, получающими ежемесячное денежное вознаграждение советникам директоров по воспитанию и взаимодействию с детскими общественными объединениями, в общей численности педагогических работников указанной категории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%</w:t>
            </w:r>
          </w:p>
        </w:tc>
        <w:tc>
          <w:tcPr>
            <w:tcW w:w="16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3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4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26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3413" w:type="dxa"/>
            <w:gridSpan w:val="7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1.5 Содержание учреждений</w:t>
            </w:r>
          </w:p>
        </w:tc>
      </w:tr>
      <w:tr>
        <w:trPr>
          <w:trHeight w:val="2095" w:hRule="atLeast"/>
        </w:trPr>
        <w:tc>
          <w:tcPr>
            <w:tcW w:w="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4"/>
                <w:lang w:val="ru-RU" w:eastAsia="en-US" w:bidi="ar-SA"/>
              </w:rPr>
              <w:t>Охват бесплатным горячим питанием обучающихся, получающих начальное общее образование в муниципальных образовательных организациях, в общей численности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%</w:t>
            </w:r>
          </w:p>
        </w:tc>
        <w:tc>
          <w:tcPr>
            <w:tcW w:w="16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3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4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26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Доля детей в возрасте от 1 до 6 лет, получающих дошкольную образовательную услугу в общей численности детей в возрасте от 1 до 6 лет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%</w:t>
            </w:r>
          </w:p>
        </w:tc>
        <w:tc>
          <w:tcPr>
            <w:tcW w:w="16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81</w:t>
            </w:r>
          </w:p>
        </w:tc>
        <w:tc>
          <w:tcPr>
            <w:tcW w:w="13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81</w:t>
            </w:r>
          </w:p>
        </w:tc>
        <w:tc>
          <w:tcPr>
            <w:tcW w:w="14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81</w:t>
            </w:r>
          </w:p>
        </w:tc>
        <w:tc>
          <w:tcPr>
            <w:tcW w:w="26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Доля детей в возрасте от 1 до 6 лет, стоящих на учёте для определения в ДОУ в общей численности детей в возрасте от 1 до 6 лет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%</w:t>
            </w:r>
          </w:p>
        </w:tc>
        <w:tc>
          <w:tcPr>
            <w:tcW w:w="16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3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4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26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Доля детей в возрасте от 5 до 18 лет, получающих услуги по дополнительному образованию в общей численности детей данной возрастной группы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%</w:t>
            </w:r>
          </w:p>
        </w:tc>
        <w:tc>
          <w:tcPr>
            <w:tcW w:w="16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88,55</w:t>
            </w:r>
          </w:p>
        </w:tc>
        <w:tc>
          <w:tcPr>
            <w:tcW w:w="13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81,08</w:t>
            </w:r>
          </w:p>
        </w:tc>
        <w:tc>
          <w:tcPr>
            <w:tcW w:w="14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86,5</w:t>
            </w:r>
          </w:p>
        </w:tc>
        <w:tc>
          <w:tcPr>
            <w:tcW w:w="26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342" w:hRule="atLeast"/>
        </w:trPr>
        <w:tc>
          <w:tcPr>
            <w:tcW w:w="13413" w:type="dxa"/>
            <w:gridSpan w:val="7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1.6 Мероприятие «Социальная поддержка»</w:t>
            </w:r>
          </w:p>
        </w:tc>
      </w:tr>
      <w:tr>
        <w:trPr>
          <w:trHeight w:val="1556" w:hRule="atLeast"/>
        </w:trPr>
        <w:tc>
          <w:tcPr>
            <w:tcW w:w="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Доля детей-сирот и детей, оставшихся без попечения родителей, переданных на воспитание в семьи, под опеку (попечительство), на усыновление в общей численности детей-сирот и детей, оставшихся без попечения родителей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%</w:t>
            </w:r>
          </w:p>
        </w:tc>
        <w:tc>
          <w:tcPr>
            <w:tcW w:w="16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93</w:t>
            </w:r>
          </w:p>
        </w:tc>
        <w:tc>
          <w:tcPr>
            <w:tcW w:w="13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88,5</w:t>
            </w:r>
          </w:p>
        </w:tc>
        <w:tc>
          <w:tcPr>
            <w:tcW w:w="14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90,8</w:t>
            </w:r>
          </w:p>
        </w:tc>
        <w:tc>
          <w:tcPr>
            <w:tcW w:w="26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eastAsia="Calibri" w:cs="Times New Roman" w:ascii="Times New Roman" w:hAnsi="Times New Roman"/>
                <w:color w:val="FF0000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1867" w:hRule="atLeast"/>
        </w:trPr>
        <w:tc>
          <w:tcPr>
            <w:tcW w:w="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Охват бесплатным горячим питанием детей из многодетных семей в соответствии с Законом Кемеровской области от 14 ноября 2005 года №123-ОЗ «О мерах социальной поддержки многодетных семей в Кемеровской области» (социальное обеспечение и иные выплаты населению)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%</w:t>
            </w:r>
          </w:p>
        </w:tc>
        <w:tc>
          <w:tcPr>
            <w:tcW w:w="16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3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4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26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eastAsia="Calibri" w:cs="Times New Roman" w:ascii="Times New Roman" w:hAnsi="Times New Roman"/>
                <w:color w:val="FF0000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703" w:hRule="atLeast"/>
        </w:trPr>
        <w:tc>
          <w:tcPr>
            <w:tcW w:w="13413" w:type="dxa"/>
            <w:gridSpan w:val="7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1.7 Мероприятие «Обеспечение исполнения муниципального социального заказа на реализацию дополнительных общеразвивающих программ»</w:t>
            </w:r>
          </w:p>
        </w:tc>
      </w:tr>
      <w:tr>
        <w:trPr>
          <w:trHeight w:val="851" w:hRule="atLeast"/>
        </w:trPr>
        <w:tc>
          <w:tcPr>
            <w:tcW w:w="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4"/>
                <w:lang w:val="ru-RU" w:eastAsia="en-US" w:bidi="ar-SA"/>
              </w:rPr>
              <w:t>Доля детей в возрасте от 5 до 18 лет, использующих социальные сертификаты дополнительного образования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%</w:t>
            </w:r>
          </w:p>
        </w:tc>
        <w:tc>
          <w:tcPr>
            <w:tcW w:w="16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13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30</w:t>
            </w:r>
          </w:p>
        </w:tc>
        <w:tc>
          <w:tcPr>
            <w:tcW w:w="14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30</w:t>
            </w:r>
          </w:p>
        </w:tc>
        <w:tc>
          <w:tcPr>
            <w:tcW w:w="26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eastAsia="Calibri" w:cs="Times New Roman" w:ascii="Times New Roman" w:hAnsi="Times New Roman"/>
                <w:color w:val="FF0000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599" w:hRule="atLeast"/>
        </w:trPr>
        <w:tc>
          <w:tcPr>
            <w:tcW w:w="13413" w:type="dxa"/>
            <w:gridSpan w:val="7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en-US" w:bidi="ar-SA"/>
              </w:rPr>
              <w:t>Подпрограмма «Развитие системы образования Прокопьевского муниципального округа»</w:t>
            </w:r>
          </w:p>
        </w:tc>
      </w:tr>
      <w:tr>
        <w:trPr/>
        <w:tc>
          <w:tcPr>
            <w:tcW w:w="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Соответствие выполненных мероприятий запланированным мероприятиям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%</w:t>
            </w:r>
          </w:p>
        </w:tc>
        <w:tc>
          <w:tcPr>
            <w:tcW w:w="16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3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4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99,2</w:t>
            </w:r>
          </w:p>
        </w:tc>
        <w:tc>
          <w:tcPr>
            <w:tcW w:w="26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653" w:hRule="atLeast"/>
        </w:trPr>
        <w:tc>
          <w:tcPr>
            <w:tcW w:w="13413" w:type="dxa"/>
            <w:gridSpan w:val="7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8"/>
                <w:lang w:val="ru-RU" w:eastAsia="en-US" w:bidi="ar-SA"/>
              </w:rPr>
              <w:t>2.1 Мероприятие «Обеспечение материально-технической базы образовательных учреждений»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8"/>
                <w:lang w:val="ru-RU" w:eastAsia="en-US" w:bidi="ar-SA"/>
              </w:rPr>
              <w:t>Мероприятие «Развитие единого образовательного пространства, повышение качества образовательных результатов»</w:t>
            </w:r>
          </w:p>
        </w:tc>
      </w:tr>
      <w:tr>
        <w:trPr>
          <w:trHeight w:val="1356" w:hRule="atLeast"/>
        </w:trPr>
        <w:tc>
          <w:tcPr>
            <w:tcW w:w="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2"/>
                <w:szCs w:val="28"/>
                <w:lang w:val="ru-RU" w:eastAsia="ru-RU" w:bidi="ar-SA"/>
              </w:rPr>
              <w:t>Создание новых места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Ед.</w:t>
            </w:r>
          </w:p>
        </w:tc>
        <w:tc>
          <w:tcPr>
            <w:tcW w:w="16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180</w:t>
            </w:r>
          </w:p>
        </w:tc>
        <w:tc>
          <w:tcPr>
            <w:tcW w:w="13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4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26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Доля муниципальных учреждений соответствующих современным требованиям обучения и воспитания, в общем количестве образовательных учреждений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%</w:t>
            </w:r>
          </w:p>
        </w:tc>
        <w:tc>
          <w:tcPr>
            <w:tcW w:w="16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3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4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26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1299" w:hRule="atLeast"/>
        </w:trPr>
        <w:tc>
          <w:tcPr>
            <w:tcW w:w="13413" w:type="dxa"/>
            <w:gridSpan w:val="7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8"/>
                <w:lang w:val="ru-RU" w:eastAsia="ru-RU" w:bidi="ar-SA"/>
              </w:rPr>
              <w:t xml:space="preserve">2.2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Мероприятие «Проведение капитального ремонта образовательных учреждений»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Мероприятие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«Проведение текущего ремонта образовательных учреждений»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Мероприятие «Комплексное развитие сельских территорий (современный облик сельских территорий) Капитальный ремонт МБОУ «Бурлаковская средняя общеобразовательная школа»</w:t>
            </w:r>
          </w:p>
        </w:tc>
      </w:tr>
      <w:tr>
        <w:trPr/>
        <w:tc>
          <w:tcPr>
            <w:tcW w:w="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Доля учреждений, здания которых находятся в аварийном состоянии или требуют капитального ремонта, в общей численности зданий образовательных учреждений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%</w:t>
            </w:r>
          </w:p>
        </w:tc>
        <w:tc>
          <w:tcPr>
            <w:tcW w:w="16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33,3</w:t>
            </w:r>
          </w:p>
        </w:tc>
        <w:tc>
          <w:tcPr>
            <w:tcW w:w="13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33,3</w:t>
            </w:r>
          </w:p>
        </w:tc>
        <w:tc>
          <w:tcPr>
            <w:tcW w:w="14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28,6</w:t>
            </w:r>
          </w:p>
        </w:tc>
        <w:tc>
          <w:tcPr>
            <w:tcW w:w="26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1272" w:hRule="atLeast"/>
        </w:trPr>
        <w:tc>
          <w:tcPr>
            <w:tcW w:w="13413" w:type="dxa"/>
            <w:gridSpan w:val="7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16"/>
                <w:lang w:val="ru-RU" w:eastAsia="en-US" w:bidi="ar-SA"/>
              </w:rPr>
              <w:t xml:space="preserve">2.3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Мероприятие «Строительство учреждений» Мероприятие «Создание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образования, в том числе «Строительство  детского сада на 100 мест, Кемеровская область- Кузбасс, Прокопьевский муниципальный округ, с. Терентьевское»</w:t>
            </w:r>
          </w:p>
        </w:tc>
      </w:tr>
      <w:tr>
        <w:trPr/>
        <w:tc>
          <w:tcPr>
            <w:tcW w:w="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shd w:fill="FFFFFF" w:val="clear"/>
                <w:lang w:val="ru-RU" w:eastAsia="en-US" w:bidi="ar-SA"/>
              </w:rPr>
              <w:t xml:space="preserve">Доступность дошкольного образования для детей в возрасте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от 1,5 до 3 лет</w:t>
            </w:r>
          </w:p>
        </w:tc>
        <w:tc>
          <w:tcPr>
            <w:tcW w:w="13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%</w:t>
            </w:r>
          </w:p>
        </w:tc>
        <w:tc>
          <w:tcPr>
            <w:tcW w:w="16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3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26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1691" w:hRule="atLeast"/>
        </w:trPr>
        <w:tc>
          <w:tcPr>
            <w:tcW w:w="13413" w:type="dxa"/>
            <w:gridSpan w:val="7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2.4. Мероприятие «Оказание материального стимулирования и поддержки работников сферы образования в их профессиональной и творческой деятельности»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Мероприятие «Оказание материального стимулирования и поддержки отличников в учебе, одаренных детей общеобразовательных учреждений Прокопьевского муниципального округа»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Мероприятие «Меры социальной поддержки гражданам, заключившим договор о целевом обучении»</w:t>
            </w:r>
          </w:p>
        </w:tc>
      </w:tr>
      <w:tr>
        <w:trPr>
          <w:trHeight w:val="987" w:hRule="atLeast"/>
        </w:trPr>
        <w:tc>
          <w:tcPr>
            <w:tcW w:w="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2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Доля выпускников сдавших ЕГЭ, от общего числа выпускников, участвовавших в ЕГЭ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%</w:t>
            </w:r>
          </w:p>
        </w:tc>
        <w:tc>
          <w:tcPr>
            <w:tcW w:w="16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3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4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26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Доля граждан, заключивших договор о целевом обучении, из общего числа граждан (выпускников общеобразовательных учреждений Прокопьевского муниципального округа за предыдущий учебный год), получающих высшее и среднее специальное педагогическое образование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%</w:t>
            </w:r>
          </w:p>
        </w:tc>
        <w:tc>
          <w:tcPr>
            <w:tcW w:w="16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68,8</w:t>
            </w:r>
          </w:p>
        </w:tc>
        <w:tc>
          <w:tcPr>
            <w:tcW w:w="13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68,8</w:t>
            </w:r>
          </w:p>
        </w:tc>
        <w:tc>
          <w:tcPr>
            <w:tcW w:w="14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68,8</w:t>
            </w:r>
          </w:p>
        </w:tc>
        <w:tc>
          <w:tcPr>
            <w:tcW w:w="26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151" w:hRule="atLeast"/>
        </w:trPr>
        <w:tc>
          <w:tcPr>
            <w:tcW w:w="13413" w:type="dxa"/>
            <w:gridSpan w:val="7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2.5 Мероприятие «Адресная социальная поддержка участников образовательного процесса»</w:t>
            </w:r>
          </w:p>
        </w:tc>
      </w:tr>
      <w:tr>
        <w:trPr>
          <w:trHeight w:val="840" w:hRule="atLeast"/>
        </w:trPr>
        <w:tc>
          <w:tcPr>
            <w:tcW w:w="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Доля обучающихся, охваченных акцией «1 сентября – каждому школьнику», в общей численности обучающихся</w:t>
            </w:r>
          </w:p>
        </w:tc>
        <w:tc>
          <w:tcPr>
            <w:tcW w:w="13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%</w:t>
            </w:r>
          </w:p>
        </w:tc>
        <w:tc>
          <w:tcPr>
            <w:tcW w:w="16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14</w:t>
            </w:r>
          </w:p>
        </w:tc>
        <w:tc>
          <w:tcPr>
            <w:tcW w:w="13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6,6</w:t>
            </w:r>
          </w:p>
        </w:tc>
        <w:tc>
          <w:tcPr>
            <w:tcW w:w="14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6,6</w:t>
            </w:r>
          </w:p>
        </w:tc>
        <w:tc>
          <w:tcPr>
            <w:tcW w:w="26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78" w:hRule="atLeast"/>
        </w:trPr>
        <w:tc>
          <w:tcPr>
            <w:tcW w:w="13413" w:type="dxa"/>
            <w:gridSpan w:val="7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2.6 Мероприятие «Витаминизация»</w:t>
            </w:r>
          </w:p>
        </w:tc>
      </w:tr>
      <w:tr>
        <w:trPr>
          <w:trHeight w:val="804" w:hRule="atLeast"/>
        </w:trPr>
        <w:tc>
          <w:tcPr>
            <w:tcW w:w="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Доля обучающихся и воспитанников, получающих витаминизированное питание в образовательных учреждениях</w:t>
            </w:r>
          </w:p>
        </w:tc>
        <w:tc>
          <w:tcPr>
            <w:tcW w:w="13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%</w:t>
            </w:r>
          </w:p>
        </w:tc>
        <w:tc>
          <w:tcPr>
            <w:tcW w:w="16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3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4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26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420" w:hRule="atLeast"/>
        </w:trPr>
        <w:tc>
          <w:tcPr>
            <w:tcW w:w="13413" w:type="dxa"/>
            <w:gridSpan w:val="7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en-US" w:bidi="ar-SA"/>
              </w:rPr>
              <w:t>3 Подпрограмма «Отдых, оздоровление и занятость детей и подростков»</w:t>
            </w:r>
          </w:p>
        </w:tc>
      </w:tr>
      <w:tr>
        <w:trPr>
          <w:trHeight w:val="545" w:hRule="atLeast"/>
        </w:trPr>
        <w:tc>
          <w:tcPr>
            <w:tcW w:w="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Охват детей всеми формами организованного отдыха и оздоровления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%</w:t>
            </w:r>
          </w:p>
        </w:tc>
        <w:tc>
          <w:tcPr>
            <w:tcW w:w="16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109,1</w:t>
            </w:r>
          </w:p>
        </w:tc>
        <w:tc>
          <w:tcPr>
            <w:tcW w:w="13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4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140,9</w:t>
            </w:r>
          </w:p>
        </w:tc>
        <w:tc>
          <w:tcPr>
            <w:tcW w:w="26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3413" w:type="dxa"/>
            <w:gridSpan w:val="7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en-US" w:bidi="ar-SA"/>
              </w:rPr>
              <w:t>4 Подпрограмма «Обеспечение пожарной безопасности в образовательных учреждениях Прокопьевского муниципального округа»</w:t>
            </w:r>
          </w:p>
        </w:tc>
      </w:tr>
      <w:tr>
        <w:trPr>
          <w:trHeight w:val="603" w:hRule="atLeast"/>
        </w:trPr>
        <w:tc>
          <w:tcPr>
            <w:tcW w:w="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Соответствие выполненных мероприятий запланированным мероприятиям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%</w:t>
            </w:r>
          </w:p>
        </w:tc>
        <w:tc>
          <w:tcPr>
            <w:tcW w:w="16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3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4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26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256" w:hRule="atLeast"/>
        </w:trPr>
        <w:tc>
          <w:tcPr>
            <w:tcW w:w="13413" w:type="dxa"/>
            <w:gridSpan w:val="7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4.1 Мероприятие «Материально-техническое обеспечение пожарной безопасности образовательных учреждений»</w:t>
            </w:r>
          </w:p>
        </w:tc>
      </w:tr>
      <w:tr>
        <w:trPr>
          <w:trHeight w:val="571" w:hRule="atLeast"/>
        </w:trPr>
        <w:tc>
          <w:tcPr>
            <w:tcW w:w="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Количество учреждений, соответствующих нормам пожарной безопасности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Ед.</w:t>
            </w:r>
          </w:p>
        </w:tc>
        <w:tc>
          <w:tcPr>
            <w:tcW w:w="16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</w:t>
            </w:r>
          </w:p>
        </w:tc>
        <w:tc>
          <w:tcPr>
            <w:tcW w:w="13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36</w:t>
            </w:r>
          </w:p>
        </w:tc>
        <w:tc>
          <w:tcPr>
            <w:tcW w:w="14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36</w:t>
            </w:r>
          </w:p>
        </w:tc>
        <w:tc>
          <w:tcPr>
            <w:tcW w:w="26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361" w:hRule="atLeast"/>
        </w:trPr>
        <w:tc>
          <w:tcPr>
            <w:tcW w:w="13413" w:type="dxa"/>
            <w:gridSpan w:val="7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4.2 Мероприятие «Охрана труда»</w:t>
            </w:r>
          </w:p>
        </w:tc>
      </w:tr>
      <w:tr>
        <w:trPr/>
        <w:tc>
          <w:tcPr>
            <w:tcW w:w="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Количество учреждений, в которых проведена специальная оценка условий труда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Ед.</w:t>
            </w:r>
          </w:p>
        </w:tc>
        <w:tc>
          <w:tcPr>
            <w:tcW w:w="16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</w:t>
            </w:r>
          </w:p>
        </w:tc>
        <w:tc>
          <w:tcPr>
            <w:tcW w:w="13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4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26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3413" w:type="dxa"/>
            <w:gridSpan w:val="7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en-US" w:bidi="ar-SA"/>
              </w:rPr>
              <w:t>5 Подпрограмма «Обеспечение персонифицированного финансирования дополнительного образования детей»</w:t>
            </w:r>
          </w:p>
        </w:tc>
      </w:tr>
      <w:tr>
        <w:trPr/>
        <w:tc>
          <w:tcPr>
            <w:tcW w:w="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Соответствие выполненных мероприятий запланированным мероприятиям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%</w:t>
            </w:r>
          </w:p>
        </w:tc>
        <w:tc>
          <w:tcPr>
            <w:tcW w:w="16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3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4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26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353" w:hRule="atLeast"/>
        </w:trPr>
        <w:tc>
          <w:tcPr>
            <w:tcW w:w="13413" w:type="dxa"/>
            <w:gridSpan w:val="7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5.1 Мероприятие «Обеспечение персонифицированного финансирования дополнительного образования детей»</w:t>
            </w:r>
          </w:p>
        </w:tc>
      </w:tr>
      <w:tr>
        <w:trPr/>
        <w:tc>
          <w:tcPr>
            <w:tcW w:w="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%</w:t>
            </w:r>
          </w:p>
        </w:tc>
        <w:tc>
          <w:tcPr>
            <w:tcW w:w="16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3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4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26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3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%</w:t>
            </w:r>
          </w:p>
        </w:tc>
        <w:tc>
          <w:tcPr>
            <w:tcW w:w="16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3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4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26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spacing w:lineRule="auto" w:line="360" w:before="0" w:after="0"/>
        <w:ind w:left="1429" w:hanging="0"/>
        <w:contextualSpacing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Начальник МБУ ЦБ УО ПР                                                                                                                                    В.А. Тюгайбей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tLeast" w:line="24" w:before="0" w:after="0"/>
        <w:ind w:firstLine="709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cs="Times New Roman" w:ascii="Times New Roman" w:hAnsi="Times New Roman"/>
          <w:sz w:val="18"/>
          <w:szCs w:val="24"/>
        </w:rPr>
        <w:t>Исп.Шамиева И.И.63-19-49</w:t>
      </w:r>
    </w:p>
    <w:p>
      <w:pPr>
        <w:pStyle w:val="Normal"/>
        <w:spacing w:lineRule="atLeast" w:line="24" w:before="0" w:after="0"/>
        <w:ind w:firstLine="709"/>
        <w:jc w:val="both"/>
        <w:rPr>
          <w:rFonts w:ascii="Times New Roman" w:hAnsi="Times New Roman" w:cs="Times New Roman"/>
          <w:sz w:val="18"/>
          <w:szCs w:val="24"/>
        </w:rPr>
      </w:pPr>
      <w:r>
        <w:rPr/>
      </w:r>
    </w:p>
    <w:p>
      <w:pPr>
        <w:pStyle w:val="Normal"/>
        <w:spacing w:lineRule="atLeast" w:line="24" w:before="0" w:after="0"/>
        <w:ind w:firstLine="709"/>
        <w:jc w:val="both"/>
        <w:rPr>
          <w:rFonts w:ascii="Times New Roman" w:hAnsi="Times New Roman" w:cs="Times New Roman"/>
          <w:sz w:val="18"/>
          <w:szCs w:val="24"/>
        </w:rPr>
      </w:pPr>
      <w:r>
        <w:rPr/>
      </w:r>
    </w:p>
    <w:p>
      <w:pPr>
        <w:pStyle w:val="Normal"/>
        <w:spacing w:lineRule="atLeast" w:line="24" w:before="0" w:after="0"/>
        <w:ind w:firstLine="709"/>
        <w:jc w:val="both"/>
        <w:rPr>
          <w:rFonts w:ascii="Times New Roman" w:hAnsi="Times New Roman" w:cs="Times New Roman"/>
          <w:sz w:val="18"/>
          <w:szCs w:val="24"/>
        </w:rPr>
      </w:pPr>
      <w:r>
        <w:rPr/>
      </w:r>
    </w:p>
    <w:p>
      <w:pPr>
        <w:pStyle w:val="Normal"/>
        <w:spacing w:lineRule="atLeast" w:line="24" w:before="0" w:after="0"/>
        <w:ind w:firstLine="709"/>
        <w:jc w:val="both"/>
        <w:rPr>
          <w:rFonts w:ascii="Times New Roman" w:hAnsi="Times New Roman" w:cs="Times New Roman"/>
          <w:sz w:val="18"/>
          <w:szCs w:val="24"/>
        </w:rPr>
      </w:pPr>
      <w:r>
        <w:rPr/>
      </w:r>
    </w:p>
    <w:p>
      <w:pPr>
        <w:pStyle w:val="Normal"/>
        <w:spacing w:lineRule="atLeast" w:line="24" w:before="0" w:after="0"/>
        <w:ind w:firstLine="709"/>
        <w:jc w:val="both"/>
        <w:rPr>
          <w:rFonts w:ascii="Times New Roman" w:hAnsi="Times New Roman" w:cs="Times New Roman"/>
          <w:sz w:val="18"/>
          <w:szCs w:val="24"/>
        </w:rPr>
      </w:pPr>
      <w:r>
        <w:rPr/>
      </w:r>
    </w:p>
    <w:p>
      <w:pPr>
        <w:pStyle w:val="Normal"/>
        <w:spacing w:lineRule="atLeast" w:line="24" w:before="0" w:after="0"/>
        <w:ind w:firstLine="709"/>
        <w:jc w:val="both"/>
        <w:rPr>
          <w:rFonts w:ascii="Times New Roman" w:hAnsi="Times New Roman" w:cs="Times New Roman"/>
          <w:sz w:val="18"/>
          <w:szCs w:val="24"/>
        </w:rPr>
      </w:pPr>
      <w:r>
        <w:rPr/>
      </w:r>
    </w:p>
    <w:p>
      <w:pPr>
        <w:pStyle w:val="Normal"/>
        <w:spacing w:lineRule="atLeast" w:line="24" w:before="0" w:after="0"/>
        <w:ind w:firstLine="709"/>
        <w:jc w:val="both"/>
        <w:rPr>
          <w:rFonts w:ascii="Times New Roman" w:hAnsi="Times New Roman" w:cs="Times New Roman"/>
          <w:sz w:val="18"/>
          <w:szCs w:val="24"/>
        </w:rPr>
      </w:pPr>
      <w:r>
        <w:rPr/>
      </w:r>
    </w:p>
    <w:p>
      <w:pPr>
        <w:pStyle w:val="Normal"/>
        <w:tabs>
          <w:tab w:val="clear" w:pos="708"/>
        </w:tabs>
        <w:jc w:val="right"/>
        <w:rPr>
          <w:rFonts w:ascii="Times New Roman" w:hAnsi="Times New Roman" w:eastAsia="Calibri" w:cs="Times New Roman"/>
          <w:kern w:val="0"/>
          <w:sz w:val="22"/>
          <w:szCs w:val="20"/>
          <w:lang w:val="ru-RU" w:eastAsia="en-US" w:bidi="ar-SA"/>
        </w:rPr>
      </w:pPr>
      <w:r>
        <w:rPr>
          <w:rFonts w:eastAsia="Calibri" w:cs="Times New Roman" w:ascii="Times New Roman" w:hAnsi="Times New Roman"/>
          <w:kern w:val="0"/>
          <w:sz w:val="18"/>
          <w:szCs w:val="24"/>
          <w:lang w:val="ru-RU" w:eastAsia="en-US" w:bidi="ar-SA"/>
        </w:rPr>
        <w:t>Приложение 8</w:t>
      </w:r>
    </w:p>
    <w:p>
      <w:pPr>
        <w:pStyle w:val="Normal"/>
        <w:tabs>
          <w:tab w:val="clear" w:pos="708"/>
        </w:tabs>
        <w:spacing w:before="0" w:after="0"/>
        <w:jc w:val="center"/>
        <w:rPr>
          <w:rFonts w:ascii="Times New Roman" w:hAnsi="Times New Roman" w:eastAsia="Calibri" w:cs="Times New Roman"/>
          <w:kern w:val="0"/>
          <w:sz w:val="26"/>
          <w:szCs w:val="26"/>
          <w:lang w:val="ru-RU" w:eastAsia="en-US" w:bidi="ar-SA"/>
        </w:rPr>
      </w:pPr>
      <w:r>
        <w:rPr>
          <w:rFonts w:eastAsia="Calibri" w:cs="Times New Roman" w:ascii="Times New Roman" w:hAnsi="Times New Roman"/>
          <w:kern w:val="0"/>
          <w:sz w:val="26"/>
          <w:szCs w:val="26"/>
          <w:lang w:val="ru-RU" w:eastAsia="en-US" w:bidi="ar-SA"/>
        </w:rPr>
        <w:t xml:space="preserve">Отчет об объеме финансовых ресурсов муниципальной программы «Образование» </w:t>
      </w:r>
    </w:p>
    <w:p>
      <w:pPr>
        <w:pStyle w:val="Normal"/>
        <w:tabs>
          <w:tab w:val="clear" w:pos="708"/>
        </w:tabs>
        <w:jc w:val="center"/>
        <w:rPr>
          <w:rFonts w:ascii="Times New Roman" w:hAnsi="Times New Roman" w:eastAsia="Calibri" w:cs="Times New Roman"/>
          <w:kern w:val="0"/>
          <w:sz w:val="26"/>
          <w:szCs w:val="26"/>
          <w:lang w:val="ru-RU" w:eastAsia="en-US" w:bidi="ar-SA"/>
        </w:rPr>
      </w:pPr>
      <w:r>
        <w:rPr>
          <w:rFonts w:eastAsia="Calibri" w:cs="Times New Roman" w:ascii="Times New Roman" w:hAnsi="Times New Roman"/>
          <w:kern w:val="0"/>
          <w:sz w:val="26"/>
          <w:szCs w:val="26"/>
          <w:lang w:val="ru-RU" w:eastAsia="en-US" w:bidi="ar-SA"/>
        </w:rPr>
        <w:t>Прокопьевского муниципального округа на 2021-2027 годы</w:t>
      </w:r>
    </w:p>
    <w:p>
      <w:pPr>
        <w:pStyle w:val="Normal"/>
        <w:tabs>
          <w:tab w:val="clear" w:pos="708"/>
        </w:tabs>
        <w:jc w:val="center"/>
        <w:rPr>
          <w:rFonts w:ascii="Times New Roman" w:hAnsi="Times New Roman" w:eastAsia="Calibri" w:cs="Times New Roman"/>
          <w:kern w:val="0"/>
          <w:sz w:val="26"/>
          <w:szCs w:val="26"/>
          <w:lang w:val="ru-RU" w:eastAsia="en-US" w:bidi="ar-SA"/>
        </w:rPr>
      </w:pPr>
      <w:r>
        <w:rPr>
          <w:rFonts w:eastAsia="Calibri" w:cs="Times New Roman" w:ascii="Times New Roman" w:hAnsi="Times New Roman"/>
          <w:kern w:val="0"/>
          <w:sz w:val="26"/>
          <w:szCs w:val="26"/>
          <w:lang w:val="ru-RU" w:eastAsia="en-US" w:bidi="ar-SA"/>
        </w:rPr>
        <w:t xml:space="preserve"> </w:t>
      </w:r>
      <w:r>
        <w:rPr>
          <w:rFonts w:eastAsia="Calibri" w:cs="Times New Roman" w:ascii="Times New Roman" w:hAnsi="Times New Roman"/>
          <w:kern w:val="0"/>
          <w:sz w:val="26"/>
          <w:szCs w:val="26"/>
          <w:lang w:val="ru-RU" w:eastAsia="en-US" w:bidi="ar-SA"/>
        </w:rPr>
        <w:t xml:space="preserve">за 2025 год </w:t>
      </w:r>
    </w:p>
    <w:tbl>
      <w:tblPr>
        <w:tblW w:w="13904" w:type="dxa"/>
        <w:jc w:val="left"/>
        <w:tblInd w:w="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77"/>
        <w:gridCol w:w="3092"/>
        <w:gridCol w:w="2268"/>
        <w:gridCol w:w="2266"/>
      </w:tblGrid>
      <w:tr>
        <w:trPr>
          <w:trHeight w:val="735" w:hRule="atLeast"/>
        </w:trPr>
        <w:tc>
          <w:tcPr>
            <w:tcW w:w="6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Cs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0"/>
                <w:lang w:val="ru-RU" w:eastAsia="en-US" w:bidi="ar-SA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Cs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0"/>
                <w:lang w:val="ru-RU" w:eastAsia="en-US" w:bidi="ar-SA"/>
              </w:rPr>
              <w:t>Источники финансирования</w:t>
            </w:r>
          </w:p>
        </w:tc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Cs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0"/>
                <w:lang w:val="ru-RU" w:eastAsia="en-US" w:bidi="ar-SA"/>
              </w:rPr>
              <w:t>Объем финансовых ресурсов, тыс.рублей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План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Факт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Муниципальная программа «Образование» Прокопьевского муниципального округа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2268105,1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2255606,1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1168755,5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1164156,6</w:t>
            </w:r>
          </w:p>
        </w:tc>
      </w:tr>
      <w:tr>
        <w:trPr>
          <w:trHeight w:val="462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иные не запрещенные законодательством источники: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областной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861114,9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857497,1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федеральный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238234,6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233952,4</w:t>
            </w:r>
          </w:p>
        </w:tc>
      </w:tr>
      <w:tr>
        <w:trPr>
          <w:trHeight w:val="630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Средства юридических и физических лиц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1. Подпрограмма «Обеспечение деятельности образовательных учреждений»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1554959,6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1543629,7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721799,2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718113,0</w:t>
            </w:r>
          </w:p>
        </w:tc>
      </w:tr>
      <w:tr>
        <w:trPr>
          <w:trHeight w:val="390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иные не запрещенные законодательством источники: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областной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743447,9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740086,4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федеральный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89712,5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85430,3</w:t>
            </w:r>
          </w:p>
        </w:tc>
      </w:tr>
      <w:tr>
        <w:trPr>
          <w:trHeight w:val="630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Средства юридических и физических лиц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1.1. Мероприятие «Расходы на выплаты персоналу в целях обеспечения выполнения функций государственными (муниципальными) органами, казенными учреждениями»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1140807,7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1138333,8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446134,1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445918,3</w:t>
            </w:r>
          </w:p>
        </w:tc>
      </w:tr>
      <w:tr>
        <w:trPr>
          <w:trHeight w:val="414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иные не запрещенные законодательством источники: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областной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694673,6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692415,5</w:t>
            </w:r>
          </w:p>
        </w:tc>
      </w:tr>
      <w:tr>
        <w:trPr>
          <w:trHeight w:val="390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федеральный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1.2. Мероприятие «Обеспечение выплат ежемесячного денежного вознаграждения за классное руководство педагогическим работникам государственных образовательных организаций и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61543,0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57726,2</w:t>
            </w:r>
          </w:p>
        </w:tc>
      </w:tr>
      <w:tr>
        <w:trPr>
          <w:trHeight w:val="40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590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иные не запрещенные законодательством источники: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областной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0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федеральный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61543,0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57726,2</w:t>
            </w:r>
          </w:p>
        </w:tc>
      </w:tr>
      <w:tr>
        <w:trPr>
          <w:trHeight w:val="360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1.3. Мероприятие «Проведение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3621,3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3284,4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696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иные не запрещенные законодательством источники: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областной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181,0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164,2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федеральный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3440,3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3120,2</w:t>
            </w:r>
          </w:p>
        </w:tc>
      </w:tr>
      <w:tr>
        <w:trPr>
          <w:trHeight w:val="34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1.4.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и муниципальных образовательных организаций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2132,7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1987,4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478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иные не запрещенные законодательством источники: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областной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266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федеральный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2132,7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1987,4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1.5. Мероприятие «Содержание учреждений»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306470,8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302554,0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266777,6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263515,4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областной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17096,7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16442,1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федеральный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22596,5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22596,5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1.6. Мероприятие «Социальная поддержка»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31496,6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31064,6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областной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31496,6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31064,6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федеральный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1.7. Мероприятие «Обеспечение исполнения муниципального социального заказа на реализацию дополнительных общеразвивающих программ»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8887,5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8679,3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8887,5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8679,3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областной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федеральный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2. Подпрограмма «Развитие системы образования Прокопьевского муниципального округа»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672015,0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671064,4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413666,1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412971,8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областной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109826,8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109570,5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федеральный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148522,1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148522,1</w:t>
            </w:r>
          </w:p>
        </w:tc>
      </w:tr>
      <w:tr>
        <w:trPr>
          <w:trHeight w:val="630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Средства юридических и физических лиц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2.1. Мероприятие «Обеспечение материально-технической базы образовательных учреждений»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146005,3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147962,9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145495,1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147704,4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областной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510,2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258,5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федеральный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2.2. Мероприятие «Разработка проектно-сметной документации для проведения ремонта (строительства) учреждений»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4600,3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2418,6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4600,3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2418,6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областной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федеральный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2.3. Мероприятие «Строительство учреждений»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областной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федеральный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2.4. Мероприятие «Комплексное развитие сельских территорий (современный облик сельских территорий)»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498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иные не запрещенные законодательством источники: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областной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федеральный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Средства юридических и физических лиц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2.5. Мероприятие «Реализация проектов инициативного бюджетирования: «Твой Кузбасс - твоя инициатива» (Благоустройство пришкольной территории МБОУ «Октябрьская основная общеобразовательная школа» (текущий ремонт), расположенной по адресу: 653222, Кемеровская область - Кузбасс, Прокопьевский муниципальный округ, п. Октябрьский, пер. Школьный, 6 (Кузбасская сельская территория); «Поддержка развития школьного инициативного бюджетирования в сфере образования»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2.6. Мероприятие «Проведение капитального ремонта образовательных учреждений»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253379,9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253379,9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189887,3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189887,3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областной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63492,6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63492,6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2.7. Мероприятие «Реализация мероприятий по модернизации школьных систем образования»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241107,3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241107,3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48221,5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48221,5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областной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44363,7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44363,7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федеральный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148522,1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148522,1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2.8. Мероприятие «Проведение текущего ремонта образовательных учреждений»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14197,8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14197,8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14197,8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14197,8</w:t>
            </w:r>
          </w:p>
        </w:tc>
      </w:tr>
      <w:tr>
        <w:trPr>
          <w:trHeight w:val="28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2.9. Мероприятие «Оказание материального стимулирования и поддержки работников сферы образования в их профессиональной и творческой деятельности»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366,6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366,6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281,4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281,4</w:t>
            </w:r>
          </w:p>
        </w:tc>
      </w:tr>
      <w:tr>
        <w:trPr>
          <w:trHeight w:val="551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иные не запрещенные законодательством источники: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областной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85,2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85,2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федеральный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2.10. Мероприятие «Оказание материального стимулирования и поддержки отличников в учебе, одаренных детей общеобразовательных учреждений Прокопьевского муниципального округа»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1116,3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755,5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356,2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356,2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областной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760,1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755,5</w:t>
            </w:r>
          </w:p>
        </w:tc>
      </w:tr>
      <w:tr>
        <w:trPr>
          <w:trHeight w:val="43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2.11. Мероприятие «Меры поощрения обучающихся, воспитанников образовательных учреждений Прокопьевского муниципального округа, выполнивших нормативы и требования знаков отличия Всероссийского физкультурно-спортивного комплекса «Готов к труду и обороне» (ГТО), их родителей (законных представителей), руководителей и учителей, успешно внедряющих Всероссийский физкультурно-спортивный комплекс ГТО»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266,0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266,0</w:t>
            </w:r>
          </w:p>
        </w:tc>
      </w:tr>
      <w:tr>
        <w:trPr>
          <w:trHeight w:val="40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266,0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266,0</w:t>
            </w:r>
          </w:p>
        </w:tc>
      </w:tr>
      <w:tr>
        <w:trPr>
          <w:trHeight w:val="40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2.12. Мероприятие «Единовременное материальное поощрение руководителей общеобразовательных учреждений, имеющих выпускников, набравших 100 баллов по результатам ЕГЭ, педагогов, подготовивших выпускников, набравших 100 баллов по результатам ЕГЭ, и выпускников, набравших 100 баллов по результатам ЕГЭ»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2.13. Мероприятие «Меры социальной поддержки гражданам, заключившим договор о целевом обучении»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20,7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20,7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20,7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20,7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областной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федеральный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2.14. Мероприятие «Адресная социальная поддержка участников образовательного процесса»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1027,0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1027,0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512,0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512,0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областной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515,0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515,0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федеральный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2.15. Мероприятие «Развитие единого образовательного пространства, повышение качества образовательных результатов»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125,0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125,0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25,0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25,0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областной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100,0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федеральный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2.16. Мероприятие «Обеспечение витаминизированными продуктами питания воспитанников и обучающихся»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6882,9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6170,1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6882,9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6170,1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областной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федеральный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2.17. Мероприятие «Повышение квалификации работников сферы образования»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190,7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190,7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190,7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190,7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областной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федеральный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2.18. Мероприятие «Оказание дополнительной социальной поддержки молодых специалистов, работающих в учреждениях образования Прокопьевского муниципального округа и специалистам сферы образования, прибывшим (переехавшим) на работу в Прокопьевский муниципальный округ»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2620,7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2620,7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2620,7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2620,7</w:t>
            </w:r>
          </w:p>
        </w:tc>
      </w:tr>
      <w:tr>
        <w:trPr>
          <w:trHeight w:val="58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2.19. Мероприятие «Организация конкурсов «Учитель года», «Лесенка успеха», «Самый классный классный», «Сердце отдаю детям» и других муниципальных, региональных и всероссийских конкурсов»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108,5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99,4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108,5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99,4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3. Подпрограмма «Организация круглогодичного отдыха, оздоровления и занятости детей и подростков»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21239,4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21068,8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18550,3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18379,7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областной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2689,1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2689,1</w:t>
            </w:r>
          </w:p>
        </w:tc>
      </w:tr>
      <w:tr>
        <w:trPr>
          <w:trHeight w:val="55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3.1. Мероприятие «Подготовка оздоровительного лагеря и пришкольных лагерей к открытию (противоклещевая обработка, ремонт, приобретение оборудования, инвентаря)»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395,2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395,2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395,2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395,2</w:t>
            </w:r>
          </w:p>
        </w:tc>
      </w:tr>
      <w:tr>
        <w:trPr>
          <w:trHeight w:val="570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3.2. Мероприятие «Организация питания детей в пришкольных лагерях и центрах дневного пребывания при общеобразовательных учреждениях, профильных сменах»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8050,6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8022,9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5361,5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5333,8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областной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2689,1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2689,1</w:t>
            </w:r>
          </w:p>
        </w:tc>
      </w:tr>
      <w:tr>
        <w:trPr>
          <w:trHeight w:val="6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3.3. Мероприятие «Организация оздоровления детей отдельных категорий в оздоровительных центрах области и за ее пределами»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3.4. Мероприятие «Коллективное страхование жизни детей, направляемых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281,9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269,2</w:t>
            </w:r>
          </w:p>
        </w:tc>
      </w:tr>
      <w:tr>
        <w:trPr>
          <w:trHeight w:val="450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281,9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269,2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областной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федеральный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3.5. Мероприятие «Временное трудоустройство несовершеннолетних (по договорам с Центром занятости населения)»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12435,9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12305,7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12435,9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12305,7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3.6. Мероприятие «Проведение мероприятий»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75,8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75,8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75,8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75,8</w:t>
            </w:r>
          </w:p>
        </w:tc>
      </w:tr>
      <w:tr>
        <w:trPr>
          <w:trHeight w:val="390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3.7. Мероприятие «Укрепление материально-технической базы организаций отдыха детей и их оздоровления»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4. Подпрограмма «Обеспечение пожарной безопасности в образовательных учреждениях Прокопьевского муниципального округа»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16074,3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16026,6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10923,2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10875,5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областной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5151,1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5151,1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федеральный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4.1 Мероприятие «Материально-техническое обеспечение пожарной безопасности образовательных учреждений»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16074,3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16026,6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10923,2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10875,5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областной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5151,1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5151,1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федеральный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4.2 Мероприятие «Охрана труда»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областной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федеральный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5. Подпрограмма «Содержание органов местного самоуправления  Управления образования администрации Прокопьевского муниципального округа»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3816,7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3816,6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3816,7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3816,6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5.1 Мероприятие «Обеспечение деятельности органов местного самоуправления»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3816,7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3816,6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местный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3816,7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3816,6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6. Подпрограмма «Обеспечение персонифицированного финансирования дополнительного образования детей»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6.1 Мероприятие «Обеспечение персонифицированного финансирования дополнительного образования детей»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77" w:type="dxa"/>
            <w:tcBorders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2268" w:type="dxa"/>
            <w:tcBorders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2266" w:type="dxa"/>
            <w:tcBorders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</w:tr>
      <w:tr>
        <w:trPr>
          <w:trHeight w:val="585" w:hRule="atLeast"/>
        </w:trPr>
        <w:tc>
          <w:tcPr>
            <w:tcW w:w="6277" w:type="dxa"/>
            <w:tcBorders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Начальник МБУ «ЦБ УО ПР»</w:t>
            </w:r>
          </w:p>
        </w:tc>
        <w:tc>
          <w:tcPr>
            <w:tcW w:w="3092" w:type="dxa"/>
            <w:tcBorders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2268" w:type="dxa"/>
            <w:tcBorders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2266" w:type="dxa"/>
            <w:tcBorders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В.А.Тюгайбей</w:t>
            </w:r>
          </w:p>
        </w:tc>
      </w:tr>
      <w:tr>
        <w:trPr>
          <w:trHeight w:val="315" w:hRule="atLeast"/>
        </w:trPr>
        <w:tc>
          <w:tcPr>
            <w:tcW w:w="6277" w:type="dxa"/>
            <w:tcBorders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Исп.Шамиева И.И. 63-19-49</w:t>
            </w:r>
          </w:p>
        </w:tc>
        <w:tc>
          <w:tcPr>
            <w:tcW w:w="3092" w:type="dxa"/>
            <w:tcBorders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2268" w:type="dxa"/>
            <w:tcBorders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2266" w:type="dxa"/>
            <w:tcBorders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</w:tr>
      <w:tr>
        <w:trPr>
          <w:trHeight w:val="315" w:hRule="atLeast"/>
        </w:trPr>
        <w:tc>
          <w:tcPr>
            <w:tcW w:w="6277" w:type="dxa"/>
            <w:tcBorders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3092" w:type="dxa"/>
            <w:tcBorders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2268" w:type="dxa"/>
            <w:tcBorders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  <w:tc>
          <w:tcPr>
            <w:tcW w:w="2266" w:type="dxa"/>
            <w:tcBorders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tLeast" w:line="24" w:before="0" w:after="0"/>
        <w:ind w:firstLine="709"/>
        <w:jc w:val="both"/>
        <w:rPr>
          <w:rFonts w:ascii="Times New Roman" w:hAnsi="Times New Roman" w:cs="Times New Roman"/>
          <w:sz w:val="18"/>
          <w:szCs w:val="24"/>
        </w:rPr>
      </w:pPr>
      <w:r>
        <w:rPr/>
      </w:r>
    </w:p>
    <w:sectPr>
      <w:type w:val="nextPage"/>
      <w:pgSz w:orient="landscape" w:w="16838" w:h="11906"/>
      <w:pgMar w:left="1134" w:right="1134" w:gutter="0" w:header="0" w:top="993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left"/>
      <w:pPr>
        <w:tabs>
          <w:tab w:val="num" w:pos="0"/>
        </w:tabs>
        <w:ind w:left="1080" w:hanging="360"/>
      </w:pPr>
      <w:rPr/>
    </w:lvl>
    <w:lvl w:ilvl="1">
      <w:start w:val="4"/>
      <w:numFmt w:val="decimal"/>
      <w:lvlText w:val="%1.%2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44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323cc9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rsid w:val="000c4e92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764ce3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323cc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c4e9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Application>LibreOffice/7.5.6.2$Linux_X86_64 LibreOffice_project/50$Build-2</Application>
  <AppVersion>15.0000</AppVersion>
  <Pages>15</Pages>
  <Words>2233</Words>
  <Characters>16833</Characters>
  <CharactersWithSpaces>18496</CharactersWithSpaces>
  <Paragraphs>706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2020-01-15T04:12:00Z</dcterms:created>
  <dc:creator>KompS</dc:creator>
  <dc:description/>
  <dc:language>ru-RU</dc:language>
  <cp:lastModifiedBy/>
  <cp:lastPrinted>2025-01-22T10:56:00Z</cp:lastPrinted>
  <dcterms:modified xsi:type="dcterms:W3CDTF">2026-08-11T09:41:11Z</dcterms:modified>
  <cp:revision>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