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spacing w:after="0" w:before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Уведомление о разработке предлагаемого нормативного правового акта</w:t>
      </w:r>
    </w:p>
    <w:p w14:paraId="02000000">
      <w:pPr>
        <w:pStyle w:val="Style_1"/>
        <w:spacing w:after="0" w:before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03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Настоящим уведомлением </w:t>
      </w:r>
      <w:r>
        <w:rPr>
          <w:rFonts w:ascii="Times New Roman" w:hAnsi="Times New Roman"/>
          <w:sz w:val="28"/>
          <w:u w:val="single"/>
        </w:rPr>
        <w:t>сектор по развитию предпринимательства и инвестиционной д</w:t>
      </w:r>
      <w:r>
        <w:rPr>
          <w:rFonts w:ascii="Times New Roman" w:hAnsi="Times New Roman"/>
          <w:sz w:val="28"/>
          <w:u w:val="single"/>
        </w:rPr>
        <w:t>еятельности Прокопьевского муниципального округа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</w:rPr>
        <w:t>извещает о начале обсуждения проекта нормативного правового акта администрации Прокопьевского муниципального округа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  <w:u w:val="single"/>
        </w:rPr>
        <w:t>«</w:t>
      </w:r>
      <w:r>
        <w:rPr>
          <w:rFonts w:ascii="Times New Roman" w:hAnsi="Times New Roman"/>
          <w:b w:val="0"/>
          <w:sz w:val="28"/>
          <w:u w:val="single"/>
        </w:rPr>
        <w:t>О</w:t>
      </w:r>
      <w:r>
        <w:rPr>
          <w:rFonts w:ascii="Times New Roman" w:hAnsi="Times New Roman"/>
          <w:b w:val="0"/>
          <w:sz w:val="28"/>
          <w:u w:val="single"/>
        </w:rPr>
        <w:t xml:space="preserve">б утверждении порядка </w:t>
      </w:r>
      <w:r>
        <w:rPr>
          <w:rFonts w:ascii="Times New Roman" w:hAnsi="Times New Roman"/>
          <w:b w:val="0"/>
          <w:sz w:val="28"/>
          <w:u w:val="single"/>
        </w:rPr>
        <w:t>«</w:t>
      </w:r>
      <w:r>
        <w:rPr>
          <w:rFonts w:ascii="Times New Roman" w:hAnsi="Times New Roman"/>
          <w:sz w:val="28"/>
          <w:u w:val="single"/>
        </w:rPr>
        <w:t xml:space="preserve">Субсидирование части затрат субъектам малого и среднего предпринимательства на </w:t>
      </w:r>
      <w:r>
        <w:rPr>
          <w:rFonts w:ascii="Times New Roman" w:hAnsi="Times New Roman"/>
          <w:sz w:val="28"/>
          <w:u w:val="single"/>
        </w:rPr>
        <w:t>приобретение оборудования</w:t>
      </w:r>
      <w:r>
        <w:rPr>
          <w:rFonts w:ascii="Times New Roman" w:hAnsi="Times New Roman"/>
          <w:color w:val="000000"/>
          <w:sz w:val="28"/>
          <w:u w:val="single"/>
        </w:rPr>
        <w:t>»</w:t>
      </w:r>
      <w:r>
        <w:rPr>
          <w:rFonts w:ascii="Times New Roman" w:hAnsi="Times New Roman"/>
          <w:color w:val="000000"/>
          <w:sz w:val="28"/>
        </w:rPr>
        <w:t>.</w:t>
      </w:r>
    </w:p>
    <w:p w14:paraId="04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 xml:space="preserve">Предложения принимаются по адресу: </w:t>
      </w:r>
      <w:r>
        <w:rPr>
          <w:rFonts w:ascii="Times New Roman" w:hAnsi="Times New Roman"/>
          <w:sz w:val="28"/>
          <w:u w:val="single"/>
        </w:rPr>
        <w:t>652640, Прокопьевский муниципальный округ, пгт. Краснобродский, ул. Комсомольская, д. 8, каб. 3</w:t>
      </w:r>
      <w:r>
        <w:rPr>
          <w:rFonts w:ascii="Times New Roman" w:hAnsi="Times New Roman"/>
          <w:sz w:val="28"/>
        </w:rPr>
        <w:t>, а также по адресу электронной почты: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  <w:u w:val="single"/>
        </w:rPr>
        <w:t>optsu@yandex.ru</w:t>
      </w:r>
    </w:p>
    <w:p w14:paraId="05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Степень регулирующего воздействия положений, содержащихся в подготовленном проекте нормативного правового акта: </w:t>
      </w:r>
      <w:r>
        <w:rPr>
          <w:rFonts w:ascii="Times New Roman" w:hAnsi="Times New Roman"/>
          <w:sz w:val="28"/>
          <w:u w:val="single"/>
        </w:rPr>
        <w:t>высокая</w:t>
      </w:r>
    </w:p>
    <w:p w14:paraId="06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Сроки приема предложений: </w:t>
      </w:r>
      <w:r>
        <w:rPr>
          <w:rFonts w:ascii="Times New Roman" w:hAnsi="Times New Roman"/>
          <w:sz w:val="28"/>
          <w:u w:val="single"/>
        </w:rPr>
        <w:t>с 29.04.2025 по 02.06.2025</w:t>
      </w:r>
    </w:p>
    <w:p w14:paraId="07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Место размещения уведомления в информационно-телекоммуникационной сети «Интернет» (полный электронный адрес):</w:t>
      </w:r>
    </w:p>
    <w:p w14:paraId="08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fldChar w:fldCharType="begin"/>
      </w:r>
      <w:r>
        <w:rPr>
          <w:rStyle w:val="Style_2_ch"/>
          <w:rFonts w:ascii="Times New Roman" w:hAnsi="Times New Roman"/>
          <w:sz w:val="28"/>
        </w:rPr>
        <w:instrText>HYPERLINK "https://prokopmo.ru/documents/otsenka-reguliruyushchego-vozdeystviya/razvitie-i-rezultaty-orv.php"</w:instrText>
      </w:r>
      <w:r>
        <w:rPr>
          <w:rStyle w:val="Style_2_ch"/>
          <w:rFonts w:ascii="Times New Roman" w:hAnsi="Times New Roman"/>
          <w:sz w:val="28"/>
        </w:rPr>
        <w:fldChar w:fldCharType="separate"/>
      </w:r>
      <w:r>
        <w:rPr>
          <w:rStyle w:val="Style_2_ch"/>
          <w:rFonts w:ascii="Times New Roman" w:hAnsi="Times New Roman"/>
          <w:sz w:val="28"/>
        </w:rPr>
        <w:t>https://prokopmo.ru/documents/otsenka-reguliruyushchego-vozdeystviya/razvitie-i-rezultaty-orv.php</w:t>
      </w:r>
      <w:r>
        <w:rPr>
          <w:rStyle w:val="Style_2_ch"/>
          <w:rFonts w:ascii="Times New Roman" w:hAnsi="Times New Roman"/>
          <w:sz w:val="28"/>
        </w:rPr>
        <w:fldChar w:fldCharType="end"/>
      </w:r>
    </w:p>
    <w:p w14:paraId="09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Все поступившие предложения будут рассмотрены. Сводка предложений будет размещена на сайте </w:t>
      </w:r>
      <w:r>
        <w:rPr>
          <w:rStyle w:val="Style_2_ch"/>
          <w:rFonts w:ascii="Times New Roman" w:hAnsi="Times New Roman"/>
          <w:sz w:val="28"/>
        </w:rPr>
        <w:fldChar w:fldCharType="begin"/>
      </w:r>
      <w:r>
        <w:rPr>
          <w:rStyle w:val="Style_2_ch"/>
          <w:rFonts w:ascii="Times New Roman" w:hAnsi="Times New Roman"/>
          <w:sz w:val="28"/>
        </w:rPr>
        <w:instrText>HYPERLINK "https://prokopmo.ru/documents/otsenka-reguliruyushchego-vozdeystviya/razvitie-i-rezultaty-orv.php"</w:instrText>
      </w:r>
      <w:r>
        <w:rPr>
          <w:rStyle w:val="Style_2_ch"/>
          <w:rFonts w:ascii="Times New Roman" w:hAnsi="Times New Roman"/>
          <w:sz w:val="28"/>
        </w:rPr>
        <w:fldChar w:fldCharType="separate"/>
      </w:r>
      <w:r>
        <w:rPr>
          <w:rStyle w:val="Style_2_ch"/>
          <w:rFonts w:ascii="Times New Roman" w:hAnsi="Times New Roman"/>
          <w:sz w:val="28"/>
        </w:rPr>
        <w:t>https://prokopmo.ru/documents/otsenka-reguliruyushchego-vozdeystviya/razvitie-i-rezultaty-orv.php</w:t>
      </w:r>
      <w:r>
        <w:rPr>
          <w:rStyle w:val="Style_2_ch"/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 не позднее </w:t>
      </w:r>
      <w:r>
        <w:rPr>
          <w:rFonts w:ascii="Times New Roman" w:hAnsi="Times New Roman"/>
          <w:sz w:val="28"/>
          <w:u w:val="single"/>
        </w:rPr>
        <w:t>05</w:t>
      </w:r>
      <w:r>
        <w:rPr>
          <w:rFonts w:ascii="Times New Roman" w:hAnsi="Times New Roman"/>
          <w:sz w:val="28"/>
          <w:u w:val="single"/>
        </w:rPr>
        <w:t>.</w:t>
      </w:r>
      <w:r>
        <w:rPr>
          <w:rFonts w:ascii="Times New Roman" w:hAnsi="Times New Roman"/>
          <w:sz w:val="28"/>
          <w:u w:val="single"/>
        </w:rPr>
        <w:t>06.202</w:t>
      </w:r>
      <w:r>
        <w:rPr>
          <w:rFonts w:ascii="Times New Roman" w:hAnsi="Times New Roman"/>
          <w:sz w:val="28"/>
          <w:u w:val="single"/>
        </w:rPr>
        <w:t>5</w:t>
      </w:r>
    </w:p>
    <w:p w14:paraId="0A000000">
      <w:pPr>
        <w:pStyle w:val="Style_3"/>
        <w:ind w:firstLine="567" w:left="-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1. Описание проблемы, на решение которой направлен предлагаемый нормативный правовой акт: </w:t>
      </w:r>
      <w:r>
        <w:rPr>
          <w:rFonts w:ascii="Times New Roman" w:hAnsi="Times New Roman"/>
          <w:sz w:val="28"/>
          <w:u w:val="single"/>
        </w:rPr>
        <w:t>с</w:t>
      </w:r>
      <w:r>
        <w:rPr>
          <w:rFonts w:ascii="Times New Roman" w:hAnsi="Times New Roman"/>
          <w:sz w:val="28"/>
          <w:u w:val="single"/>
        </w:rPr>
        <w:t xml:space="preserve">убсидирование части затрат субъектам малого и среднего предпринимательства на </w:t>
      </w:r>
      <w:r>
        <w:rPr>
          <w:rFonts w:ascii="Times New Roman" w:hAnsi="Times New Roman"/>
          <w:sz w:val="28"/>
          <w:u w:val="single"/>
        </w:rPr>
        <w:t>приобретение оборудования.</w:t>
      </w:r>
    </w:p>
    <w:p w14:paraId="0B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Цели предлагаемого нормативного правового акта: </w:t>
      </w:r>
      <w:r>
        <w:rPr>
          <w:rFonts w:ascii="Times New Roman" w:hAnsi="Times New Roman"/>
          <w:b w:val="0"/>
          <w:color w:val="000000"/>
          <w:sz w:val="28"/>
          <w:u w:val="single"/>
        </w:rPr>
        <w:t>утверждение порядка</w:t>
      </w:r>
      <w:r>
        <w:rPr>
          <w:rFonts w:ascii="Times New Roman" w:hAnsi="Times New Roman"/>
          <w:b w:val="0"/>
          <w:color w:val="000000"/>
          <w:sz w:val="28"/>
          <w:u w:val="single"/>
        </w:rPr>
        <w:t xml:space="preserve"> с</w:t>
      </w:r>
      <w:r>
        <w:rPr>
          <w:rFonts w:ascii="Times New Roman" w:hAnsi="Times New Roman"/>
          <w:sz w:val="28"/>
          <w:u w:val="single"/>
        </w:rPr>
        <w:t xml:space="preserve">убсидирования части затрат субъектам малого и среднего предпринимательства на </w:t>
      </w:r>
      <w:r>
        <w:rPr>
          <w:rFonts w:ascii="Times New Roman" w:hAnsi="Times New Roman"/>
          <w:sz w:val="28"/>
          <w:u w:val="single"/>
        </w:rPr>
        <w:t>приобретение оборудования</w:t>
      </w:r>
      <w:r>
        <w:rPr>
          <w:rFonts w:ascii="Times New Roman" w:hAnsi="Times New Roman"/>
          <w:sz w:val="28"/>
          <w:u w:val="single"/>
        </w:rPr>
        <w:t>.</w:t>
      </w:r>
    </w:p>
    <w:p w14:paraId="0C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 Действующие нормативные правовые акты, поручения, другие решения, из которых вытекает необходимость разработки предлагаемого нормативного правового акта в данной области: </w:t>
      </w:r>
      <w:r>
        <w:rPr>
          <w:rFonts w:ascii="Times New Roman" w:hAnsi="Times New Roman"/>
          <w:sz w:val="28"/>
          <w:u w:val="single"/>
        </w:rPr>
        <w:t xml:space="preserve">Федеральный закон </w:t>
      </w:r>
      <w:r>
        <w:rPr>
          <w:rFonts w:ascii="Times New Roman" w:hAnsi="Times New Roman"/>
          <w:sz w:val="28"/>
          <w:u w:val="single"/>
        </w:rPr>
        <w:t xml:space="preserve">Российской Федерации от </w:t>
      </w:r>
      <w:r>
        <w:rPr>
          <w:rFonts w:ascii="Times New Roman" w:hAnsi="Times New Roman"/>
          <w:sz w:val="28"/>
          <w:u w:val="single"/>
        </w:rPr>
        <w:t>06.10.2003 № 131-ФЗ «Об общих принципах организации местного самоуправления в Российской Федерации»; Федеральный закон</w:t>
      </w:r>
      <w:r>
        <w:rPr>
          <w:rFonts w:ascii="Times New Roman" w:hAnsi="Times New Roman"/>
          <w:sz w:val="28"/>
          <w:u w:val="single"/>
        </w:rPr>
        <w:t xml:space="preserve"> </w:t>
      </w:r>
      <w:r>
        <w:rPr>
          <w:rFonts w:ascii="Times New Roman" w:hAnsi="Times New Roman"/>
          <w:sz w:val="28"/>
          <w:u w:val="single"/>
        </w:rPr>
        <w:t>Российской Федерации от</w:t>
      </w:r>
      <w:r>
        <w:rPr>
          <w:rFonts w:ascii="Times New Roman" w:hAnsi="Times New Roman"/>
          <w:sz w:val="28"/>
          <w:u w:val="single"/>
        </w:rPr>
        <w:t xml:space="preserve"> </w:t>
      </w:r>
      <w:r>
        <w:rPr>
          <w:rFonts w:ascii="Times New Roman" w:hAnsi="Times New Roman"/>
          <w:sz w:val="28"/>
          <w:u w:val="single"/>
        </w:rPr>
        <w:t xml:space="preserve">24.07.2007 № 209-ФЗ «О развитии малого и среднего предпринимательства в Российской Федерации»; постановление Правительства Российской Федерации от </w:t>
      </w:r>
      <w:r>
        <w:rPr>
          <w:rFonts w:ascii="Times New Roman" w:hAnsi="Times New Roman"/>
          <w:sz w:val="28"/>
          <w:u w:val="single"/>
        </w:rPr>
        <w:t>25</w:t>
      </w:r>
      <w:r>
        <w:rPr>
          <w:rFonts w:ascii="Times New Roman" w:hAnsi="Times New Roman"/>
          <w:sz w:val="28"/>
          <w:u w:val="single"/>
        </w:rPr>
        <w:t>.</w:t>
      </w:r>
      <w:r>
        <w:rPr>
          <w:rFonts w:ascii="Times New Roman" w:hAnsi="Times New Roman"/>
          <w:sz w:val="28"/>
          <w:u w:val="single"/>
        </w:rPr>
        <w:t>10</w:t>
      </w:r>
      <w:r>
        <w:rPr>
          <w:rFonts w:ascii="Times New Roman" w:hAnsi="Times New Roman"/>
          <w:sz w:val="28"/>
          <w:u w:val="single"/>
        </w:rPr>
        <w:t>.202</w:t>
      </w:r>
      <w:r>
        <w:rPr>
          <w:rFonts w:ascii="Times New Roman" w:hAnsi="Times New Roman"/>
          <w:sz w:val="28"/>
          <w:u w:val="single"/>
        </w:rPr>
        <w:t>3</w:t>
      </w:r>
      <w:r>
        <w:rPr>
          <w:rFonts w:ascii="Times New Roman" w:hAnsi="Times New Roman"/>
          <w:sz w:val="28"/>
          <w:u w:val="single"/>
        </w:rPr>
        <w:t xml:space="preserve"> № 1</w:t>
      </w:r>
      <w:r>
        <w:rPr>
          <w:rFonts w:ascii="Times New Roman" w:hAnsi="Times New Roman"/>
          <w:sz w:val="28"/>
          <w:u w:val="single"/>
        </w:rPr>
        <w:t>782</w:t>
      </w:r>
      <w:r>
        <w:rPr>
          <w:rFonts w:ascii="Times New Roman" w:hAnsi="Times New Roman"/>
          <w:sz w:val="28"/>
          <w:u w:val="single"/>
        </w:rPr>
        <w:t xml:space="preserve"> «Об</w:t>
      </w:r>
      <w:r>
        <w:rPr>
          <w:rFonts w:ascii="Times New Roman" w:hAnsi="Times New Roman"/>
          <w:sz w:val="28"/>
          <w:u w:val="single"/>
        </w:rPr>
        <w:t xml:space="preserve"> утверждении</w:t>
      </w:r>
      <w:r>
        <w:rPr>
          <w:rFonts w:ascii="Times New Roman" w:hAnsi="Times New Roman"/>
          <w:sz w:val="28"/>
          <w:u w:val="single"/>
        </w:rPr>
        <w:t xml:space="preserve"> общих требовани</w:t>
      </w:r>
      <w:r>
        <w:rPr>
          <w:rFonts w:ascii="Times New Roman" w:hAnsi="Times New Roman"/>
          <w:sz w:val="28"/>
          <w:u w:val="single"/>
        </w:rPr>
        <w:t>й</w:t>
      </w:r>
      <w:r>
        <w:rPr>
          <w:rFonts w:ascii="Times New Roman" w:hAnsi="Times New Roman"/>
          <w:sz w:val="28"/>
          <w:u w:val="single"/>
        </w:rPr>
        <w:t xml:space="preserve"> к нормативным правовым актам, муниципальным правовым актам, регулирующим предоставление</w:t>
      </w:r>
      <w:r>
        <w:rPr>
          <w:rFonts w:ascii="Times New Roman" w:hAnsi="Times New Roman"/>
          <w:sz w:val="28"/>
          <w:u w:val="single"/>
        </w:rPr>
        <w:t xml:space="preserve"> из бюджетов субъектов Российской Федерации</w:t>
      </w:r>
      <w:r>
        <w:rPr>
          <w:rFonts w:ascii="Times New Roman" w:hAnsi="Times New Roman"/>
          <w:sz w:val="28"/>
          <w:u w:val="single"/>
        </w:rPr>
        <w:t>, местных бюджетов</w:t>
      </w:r>
      <w:r>
        <w:rPr>
          <w:rFonts w:ascii="Times New Roman" w:hAnsi="Times New Roman"/>
          <w:sz w:val="28"/>
          <w:u w:val="single"/>
        </w:rPr>
        <w:t xml:space="preserve">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</w:t>
      </w:r>
      <w:r>
        <w:rPr>
          <w:rFonts w:ascii="Times New Roman" w:hAnsi="Times New Roman"/>
          <w:sz w:val="28"/>
          <w:u w:val="single"/>
        </w:rPr>
        <w:t xml:space="preserve"> проведение отборов получателей указанных субсидий, в том числе грантов в форме субсидий»</w:t>
      </w:r>
      <w:r>
        <w:rPr>
          <w:rFonts w:ascii="Times New Roman" w:hAnsi="Times New Roman"/>
          <w:color w:val="000000"/>
          <w:sz w:val="28"/>
          <w:u w:val="single"/>
        </w:rPr>
        <w:t>;</w:t>
      </w:r>
      <w:r>
        <w:rPr>
          <w:rFonts w:ascii="Times New Roman" w:hAnsi="Times New Roman"/>
          <w:color w:val="000000"/>
          <w:sz w:val="28"/>
          <w:u w:val="single"/>
        </w:rPr>
        <w:t xml:space="preserve"> Устав муниципального обра</w:t>
      </w:r>
      <w:r>
        <w:rPr>
          <w:rFonts w:ascii="Times New Roman" w:hAnsi="Times New Roman"/>
          <w:color w:val="000000"/>
          <w:sz w:val="28"/>
          <w:u w:val="single"/>
        </w:rPr>
        <w:t>зования Прокопьевский муниципальный округ Кемеровской области - Кузбасса</w:t>
      </w:r>
      <w:r>
        <w:rPr>
          <w:rFonts w:ascii="Times New Roman" w:hAnsi="Times New Roman"/>
          <w:sz w:val="28"/>
        </w:rPr>
        <w:t>.</w:t>
      </w:r>
    </w:p>
    <w:p w14:paraId="0D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4. Планируемый срок вступления в силу предлагаемого нормативного правового акта: </w:t>
      </w:r>
      <w:r>
        <w:rPr>
          <w:rFonts w:ascii="Times New Roman" w:hAnsi="Times New Roman"/>
          <w:sz w:val="28"/>
          <w:u w:val="single"/>
        </w:rPr>
        <w:t>июнь</w:t>
      </w:r>
      <w:r>
        <w:rPr>
          <w:rFonts w:ascii="Times New Roman" w:hAnsi="Times New Roman"/>
          <w:sz w:val="28"/>
          <w:u w:val="single"/>
        </w:rPr>
        <w:t xml:space="preserve"> 2025 года</w:t>
      </w:r>
      <w:r>
        <w:rPr>
          <w:rFonts w:ascii="Times New Roman" w:hAnsi="Times New Roman"/>
          <w:sz w:val="28"/>
          <w:u w:val="single"/>
        </w:rPr>
        <w:t>.</w:t>
      </w:r>
    </w:p>
    <w:p w14:paraId="0E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 Сведения о необходимости или отсутствии необходимости установления переходного периода: </w:t>
      </w:r>
      <w:r>
        <w:rPr>
          <w:rFonts w:ascii="Times New Roman" w:hAnsi="Times New Roman"/>
          <w:sz w:val="28"/>
          <w:u w:val="single"/>
        </w:rPr>
        <w:t>не требуется.</w:t>
      </w:r>
    </w:p>
    <w:p w14:paraId="0F000000">
      <w:pPr>
        <w:pStyle w:val="Style_4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6.  Иная информация по решению органа-разработчика, относящаяся к сведениям о подготовке предлагаемого нормативного правового акта: </w:t>
      </w:r>
      <w:r>
        <w:rPr>
          <w:rFonts w:ascii="Times New Roman" w:hAnsi="Times New Roman"/>
          <w:sz w:val="28"/>
          <w:u w:val="single"/>
        </w:rPr>
        <w:t>отсутствует</w:t>
      </w:r>
      <w:r>
        <w:rPr>
          <w:rFonts w:ascii="Times New Roman" w:hAnsi="Times New Roman"/>
          <w:sz w:val="28"/>
        </w:rPr>
        <w:t>.</w:t>
      </w:r>
    </w:p>
    <w:p w14:paraId="10000000">
      <w:pPr>
        <w:pStyle w:val="Style_3"/>
        <w:ind w:firstLine="567" w:left="-567"/>
        <w:rPr>
          <w:rFonts w:ascii="Times New Roman" w:hAnsi="Times New Roman"/>
          <w:sz w:val="28"/>
        </w:rPr>
      </w:pPr>
    </w:p>
    <w:p w14:paraId="11000000">
      <w:pPr>
        <w:pStyle w:val="Style_3"/>
        <w:ind w:firstLine="567" w:left="-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уведомлению прилагаются:</w:t>
      </w:r>
    </w:p>
    <w:p w14:paraId="12000000">
      <w:pPr>
        <w:pStyle w:val="Style_3"/>
        <w:ind w:firstLine="567" w:left="-567"/>
        <w:rPr>
          <w:rFonts w:ascii="Times New Roman" w:hAnsi="Times New Roman"/>
          <w:sz w:val="28"/>
        </w:rPr>
      </w:pPr>
    </w:p>
    <w:tbl>
      <w:tblPr>
        <w:tblStyle w:val="Style_5"/>
        <w:tblW w:type="auto" w:w="0"/>
        <w:jc w:val="left"/>
        <w:tblInd w:type="dxa" w:w="119"/>
        <w:tblLayout w:type="fixed"/>
        <w:tblCellMar>
          <w:top w:type="dxa" w:w="102"/>
          <w:left w:type="dxa" w:w="57"/>
          <w:bottom w:type="dxa" w:w="102"/>
          <w:right w:type="dxa" w:w="62"/>
        </w:tblCellMar>
      </w:tblPr>
      <w:tblGrid>
        <w:gridCol w:w="392"/>
        <w:gridCol w:w="7160"/>
        <w:gridCol w:w="1850"/>
      </w:tblGrid>
      <w:tr>
        <w:trPr>
          <w:trHeight w:hRule="atLeast" w:val="283"/>
        </w:trPr>
        <w:tc>
          <w:tcPr>
            <w:tcW w:type="dxa" w:w="392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13000000">
            <w:pPr>
              <w:pStyle w:val="Style_3"/>
              <w:widowControl w:val="0"/>
              <w:spacing w:line="252" w:lineRule="auto"/>
              <w:ind w:firstLine="567" w:left="-567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716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14000000">
            <w:pPr>
              <w:pStyle w:val="Style_3"/>
              <w:widowControl w:val="0"/>
              <w:spacing w:line="252" w:lineRule="auto"/>
              <w:ind w:firstLine="0" w:left="118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Перечень вопросов для участников публичных обсуждений</w:t>
            </w:r>
          </w:p>
        </w:tc>
        <w:tc>
          <w:tcPr>
            <w:tcW w:type="dxa" w:w="1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15000000">
            <w:pPr>
              <w:pStyle w:val="Style_3"/>
              <w:widowControl w:val="0"/>
              <w:spacing w:line="252" w:lineRule="auto"/>
              <w:ind w:firstLine="567" w:left="-567"/>
              <w:jc w:val="both"/>
              <w:rPr>
                <w:rFonts w:ascii="Times New Roman" w:hAnsi="Times New Roman"/>
                <w:sz w:val="28"/>
              </w:rPr>
            </w:pPr>
          </w:p>
        </w:tc>
      </w:tr>
    </w:tbl>
    <w:p w14:paraId="16000000">
      <w:pPr>
        <w:pStyle w:val="Style_3"/>
        <w:ind/>
        <w:jc w:val="both"/>
        <w:rPr>
          <w:rFonts w:ascii="Times New Roman" w:hAnsi="Times New Roman"/>
          <w:sz w:val="24"/>
        </w:rPr>
      </w:pPr>
    </w:p>
    <w:sectPr>
      <w:type w:val="nextPage"/>
      <w:pgSz w:h="16838" w:orient="portrait" w:w="11906"/>
      <w:pgMar w:bottom="1814" w:footer="0" w:gutter="0" w:header="0" w:left="1701" w:right="850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after="200" w:before="0" w:line="276" w:lineRule="auto"/>
      <w:ind/>
      <w:jc w:val="left"/>
    </w:pPr>
    <w:rPr>
      <w:rFonts w:asciiTheme="minorAscii" w:hAnsiTheme="minorHAnsi"/>
      <w:color w:val="000000"/>
      <w:sz w:val="22"/>
    </w:rPr>
  </w:style>
  <w:style w:default="1" w:styleId="Style_1_ch" w:type="character">
    <w:name w:val="Normal"/>
    <w:link w:val="Style_1"/>
    <w:rPr>
      <w:rFonts w:asciiTheme="minorAscii" w:hAnsiTheme="minorHAnsi"/>
      <w:color w:val="000000"/>
      <w:sz w:val="22"/>
    </w:rPr>
  </w:style>
  <w:style w:styleId="Style_6" w:type="paragraph">
    <w:name w:val="toc 2"/>
    <w:next w:val="Style_1"/>
    <w:link w:val="Style_6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toc 4"/>
    <w:next w:val="Style_1"/>
    <w:link w:val="Style_7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3" w:type="paragraph">
    <w:name w:val="ConsPlusNonformat"/>
    <w:link w:val="Style_3_ch"/>
    <w:pPr>
      <w:widowControl w:val="0"/>
      <w:spacing w:after="0" w:before="0" w:line="240" w:lineRule="auto"/>
      <w:ind/>
      <w:jc w:val="left"/>
    </w:pPr>
    <w:rPr>
      <w:rFonts w:ascii="Courier New" w:hAnsi="Courier New"/>
      <w:color w:val="000000"/>
      <w:sz w:val="20"/>
    </w:rPr>
  </w:style>
  <w:style w:styleId="Style_3_ch" w:type="character">
    <w:name w:val="ConsPlusNonformat"/>
    <w:link w:val="Style_3"/>
    <w:rPr>
      <w:rFonts w:ascii="Courier New" w:hAnsi="Courier New"/>
      <w:color w:val="000000"/>
      <w:sz w:val="20"/>
    </w:rPr>
  </w:style>
  <w:style w:styleId="Style_8" w:type="paragraph">
    <w:name w:val="toc 6"/>
    <w:next w:val="Style_1"/>
    <w:link w:val="Style_8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1"/>
    <w:link w:val="Style_9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11" w:type="paragraph">
    <w:name w:val="End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Endnote"/>
    <w:link w:val="Style_11"/>
    <w:rPr>
      <w:rFonts w:ascii="XO Thames" w:hAnsi="XO Thames"/>
      <w:sz w:val="22"/>
    </w:rPr>
  </w:style>
  <w:style w:styleId="Style_12" w:type="paragraph">
    <w:name w:val="heading 3"/>
    <w:next w:val="Style_1"/>
    <w:link w:val="Style_12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2_ch" w:type="character">
    <w:name w:val="heading 3"/>
    <w:link w:val="Style_12"/>
    <w:rPr>
      <w:rFonts w:ascii="XO Thames" w:hAnsi="XO Thames"/>
      <w:b w:val="1"/>
      <w:sz w:val="26"/>
    </w:rPr>
  </w:style>
  <w:style w:styleId="Style_13" w:type="paragraph">
    <w:name w:val="toc 3"/>
    <w:next w:val="Style_1"/>
    <w:link w:val="Style_13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14" w:type="paragraph">
    <w:name w:val="heading 5"/>
    <w:next w:val="Style_1"/>
    <w:link w:val="Style_14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4_ch" w:type="character">
    <w:name w:val="heading 5"/>
    <w:link w:val="Style_14"/>
    <w:rPr>
      <w:rFonts w:ascii="XO Thames" w:hAnsi="XO Thames"/>
      <w:b w:val="1"/>
      <w:sz w:val="22"/>
    </w:rPr>
  </w:style>
  <w:style w:styleId="Style_15" w:type="paragraph">
    <w:name w:val="heading 1"/>
    <w:next w:val="Style_1"/>
    <w:link w:val="Style_15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5_ch" w:type="character">
    <w:name w:val="heading 1"/>
    <w:link w:val="Style_15"/>
    <w:rPr>
      <w:rFonts w:ascii="XO Thames" w:hAnsi="XO Thames"/>
      <w:b w:val="1"/>
      <w:sz w:val="32"/>
    </w:rPr>
  </w:style>
  <w:style w:styleId="Style_16" w:type="paragraph">
    <w:name w:val="List"/>
    <w:basedOn w:val="Style_17"/>
    <w:link w:val="Style_16_ch"/>
    <w:rPr>
      <w:rFonts w:ascii="PT Astra Serif" w:hAnsi="PT Astra Serif"/>
    </w:rPr>
  </w:style>
  <w:style w:styleId="Style_16_ch" w:type="character">
    <w:name w:val="List"/>
    <w:basedOn w:val="Style_17_ch"/>
    <w:link w:val="Style_16"/>
    <w:rPr>
      <w:rFonts w:ascii="PT Astra Serif" w:hAnsi="PT Astra Serif"/>
    </w:rPr>
  </w:style>
  <w:style w:styleId="Style_2" w:type="paragraph">
    <w:name w:val="Hyperlink"/>
    <w:basedOn w:val="Style_10"/>
    <w:link w:val="Style_2_ch"/>
    <w:rPr>
      <w:color w:themeColor="hyperlink" w:val="0000FF"/>
      <w:u w:val="single"/>
    </w:rPr>
  </w:style>
  <w:style w:styleId="Style_2_ch" w:type="character">
    <w:name w:val="Hyperlink"/>
    <w:basedOn w:val="Style_10_ch"/>
    <w:link w:val="Style_2"/>
    <w:rPr>
      <w:color w:themeColor="hyperlink" w:val="0000FF"/>
      <w:u w:val="single"/>
    </w:rPr>
  </w:style>
  <w:style w:styleId="Style_18" w:type="paragraph">
    <w:name w:val="Footnote"/>
    <w:link w:val="Style_18_ch"/>
    <w:pPr>
      <w:ind w:firstLine="851" w:left="0"/>
      <w:jc w:val="both"/>
    </w:pPr>
    <w:rPr>
      <w:rFonts w:ascii="XO Thames" w:hAnsi="XO Thames"/>
      <w:sz w:val="22"/>
    </w:rPr>
  </w:style>
  <w:style w:styleId="Style_18_ch" w:type="character">
    <w:name w:val="Footnote"/>
    <w:link w:val="Style_18"/>
    <w:rPr>
      <w:rFonts w:ascii="XO Thames" w:hAnsi="XO Thames"/>
      <w:sz w:val="22"/>
    </w:rPr>
  </w:style>
  <w:style w:styleId="Style_19" w:type="paragraph">
    <w:name w:val="toc 1"/>
    <w:next w:val="Style_1"/>
    <w:link w:val="Style_19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9_ch" w:type="character">
    <w:name w:val="toc 1"/>
    <w:link w:val="Style_19"/>
    <w:rPr>
      <w:rFonts w:ascii="XO Thames" w:hAnsi="XO Thames"/>
      <w:b w:val="1"/>
      <w:sz w:val="28"/>
    </w:rPr>
  </w:style>
  <w:style w:styleId="Style_20" w:type="paragraph">
    <w:name w:val="Header and Footer"/>
    <w:link w:val="Style_20_ch"/>
    <w:pPr>
      <w:spacing w:line="240" w:lineRule="auto"/>
      <w:ind/>
      <w:jc w:val="both"/>
    </w:pPr>
    <w:rPr>
      <w:rFonts w:ascii="XO Thames" w:hAnsi="XO Thames"/>
      <w:sz w:val="28"/>
    </w:rPr>
  </w:style>
  <w:style w:styleId="Style_20_ch" w:type="character">
    <w:name w:val="Header and Footer"/>
    <w:link w:val="Style_20"/>
    <w:rPr>
      <w:rFonts w:ascii="XO Thames" w:hAnsi="XO Thames"/>
      <w:sz w:val="28"/>
    </w:rPr>
  </w:style>
  <w:style w:styleId="Style_21" w:type="paragraph">
    <w:name w:val="toc 9"/>
    <w:next w:val="Style_1"/>
    <w:link w:val="Style_21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1_ch" w:type="character">
    <w:name w:val="toc 9"/>
    <w:link w:val="Style_21"/>
    <w:rPr>
      <w:rFonts w:ascii="XO Thames" w:hAnsi="XO Thames"/>
      <w:sz w:val="28"/>
    </w:rPr>
  </w:style>
  <w:style w:styleId="Style_4" w:type="paragraph">
    <w:name w:val="ConsPlusNormal"/>
    <w:link w:val="Style_4_ch"/>
    <w:pPr>
      <w:widowControl w:val="0"/>
      <w:spacing w:after="0" w:before="0" w:line="240" w:lineRule="auto"/>
      <w:ind/>
      <w:jc w:val="left"/>
    </w:pPr>
    <w:rPr>
      <w:rFonts w:asciiTheme="minorAscii" w:hAnsiTheme="minorHAnsi"/>
      <w:color w:val="000000"/>
      <w:sz w:val="22"/>
    </w:rPr>
  </w:style>
  <w:style w:styleId="Style_4_ch" w:type="character">
    <w:name w:val="ConsPlusNormal"/>
    <w:link w:val="Style_4"/>
    <w:rPr>
      <w:rFonts w:asciiTheme="minorAscii" w:hAnsiTheme="minorHAnsi"/>
      <w:color w:val="000000"/>
      <w:sz w:val="22"/>
    </w:rPr>
  </w:style>
  <w:style w:styleId="Style_22" w:type="paragraph">
    <w:name w:val="toc 8"/>
    <w:next w:val="Style_1"/>
    <w:link w:val="Style_22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2_ch" w:type="character">
    <w:name w:val="toc 8"/>
    <w:link w:val="Style_22"/>
    <w:rPr>
      <w:rFonts w:ascii="XO Thames" w:hAnsi="XO Thames"/>
      <w:sz w:val="28"/>
    </w:rPr>
  </w:style>
  <w:style w:styleId="Style_23" w:type="paragraph">
    <w:name w:val="toc 5"/>
    <w:next w:val="Style_1"/>
    <w:link w:val="Style_23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3_ch" w:type="character">
    <w:name w:val="toc 5"/>
    <w:link w:val="Style_23"/>
    <w:rPr>
      <w:rFonts w:ascii="XO Thames" w:hAnsi="XO Thames"/>
      <w:sz w:val="28"/>
    </w:rPr>
  </w:style>
  <w:style w:styleId="Style_24" w:type="paragraph">
    <w:name w:val="Указатель"/>
    <w:basedOn w:val="Style_1"/>
    <w:link w:val="Style_24_ch"/>
    <w:rPr>
      <w:rFonts w:ascii="PT Astra Serif" w:hAnsi="PT Astra Serif"/>
    </w:rPr>
  </w:style>
  <w:style w:styleId="Style_24_ch" w:type="character">
    <w:name w:val="Указатель"/>
    <w:basedOn w:val="Style_1_ch"/>
    <w:link w:val="Style_24"/>
    <w:rPr>
      <w:rFonts w:ascii="PT Astra Serif" w:hAnsi="PT Astra Serif"/>
    </w:rPr>
  </w:style>
  <w:style w:styleId="Style_17" w:type="paragraph">
    <w:name w:val="Body Text"/>
    <w:basedOn w:val="Style_1"/>
    <w:link w:val="Style_17_ch"/>
    <w:pPr>
      <w:spacing w:after="140" w:before="0" w:line="276" w:lineRule="auto"/>
      <w:ind/>
    </w:pPr>
  </w:style>
  <w:style w:styleId="Style_17_ch" w:type="character">
    <w:name w:val="Body Text"/>
    <w:basedOn w:val="Style_1_ch"/>
    <w:link w:val="Style_17"/>
  </w:style>
  <w:style w:styleId="Style_25" w:type="paragraph">
    <w:name w:val="Caption"/>
    <w:basedOn w:val="Style_1"/>
    <w:link w:val="Style_25_ch"/>
    <w:pPr>
      <w:spacing w:after="120" w:before="120"/>
      <w:ind/>
    </w:pPr>
    <w:rPr>
      <w:rFonts w:ascii="PT Astra Serif" w:hAnsi="PT Astra Serif"/>
      <w:i w:val="1"/>
      <w:sz w:val="24"/>
    </w:rPr>
  </w:style>
  <w:style w:styleId="Style_25_ch" w:type="character">
    <w:name w:val="Caption"/>
    <w:basedOn w:val="Style_1_ch"/>
    <w:link w:val="Style_25"/>
    <w:rPr>
      <w:rFonts w:ascii="PT Astra Serif" w:hAnsi="PT Astra Serif"/>
      <w:i w:val="1"/>
      <w:sz w:val="24"/>
    </w:rPr>
  </w:style>
  <w:style w:styleId="Style_26" w:type="paragraph">
    <w:name w:val="Subtitle"/>
    <w:next w:val="Style_1"/>
    <w:link w:val="Style_26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6_ch" w:type="character">
    <w:name w:val="Subtitle"/>
    <w:link w:val="Style_26"/>
    <w:rPr>
      <w:rFonts w:ascii="XO Thames" w:hAnsi="XO Thames"/>
      <w:i w:val="1"/>
      <w:sz w:val="24"/>
    </w:rPr>
  </w:style>
  <w:style w:styleId="Style_27" w:type="paragraph">
    <w:name w:val="Title"/>
    <w:next w:val="Style_1"/>
    <w:link w:val="Style_27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7_ch" w:type="character">
    <w:name w:val="Title"/>
    <w:link w:val="Style_27"/>
    <w:rPr>
      <w:rFonts w:ascii="XO Thames" w:hAnsi="XO Thames"/>
      <w:b w:val="1"/>
      <w:caps w:val="1"/>
      <w:sz w:val="40"/>
    </w:rPr>
  </w:style>
  <w:style w:styleId="Style_28" w:type="paragraph">
    <w:name w:val="heading 4"/>
    <w:next w:val="Style_1"/>
    <w:link w:val="Style_28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8_ch" w:type="character">
    <w:name w:val="heading 4"/>
    <w:link w:val="Style_28"/>
    <w:rPr>
      <w:rFonts w:ascii="XO Thames" w:hAnsi="XO Thames"/>
      <w:b w:val="1"/>
      <w:sz w:val="24"/>
    </w:rPr>
  </w:style>
  <w:style w:styleId="Style_29" w:type="paragraph">
    <w:name w:val="Заголовок"/>
    <w:basedOn w:val="Style_1"/>
    <w:next w:val="Style_17"/>
    <w:link w:val="Style_29_ch"/>
    <w:pPr>
      <w:keepNext w:val="1"/>
      <w:spacing w:after="120" w:before="240"/>
      <w:ind/>
    </w:pPr>
    <w:rPr>
      <w:rFonts w:ascii="PT Astra Serif" w:hAnsi="PT Astra Serif"/>
      <w:sz w:val="28"/>
    </w:rPr>
  </w:style>
  <w:style w:styleId="Style_29_ch" w:type="character">
    <w:name w:val="Заголовок"/>
    <w:basedOn w:val="Style_1_ch"/>
    <w:link w:val="Style_29"/>
    <w:rPr>
      <w:rFonts w:ascii="PT Astra Serif" w:hAnsi="PT Astra Serif"/>
      <w:sz w:val="28"/>
    </w:rPr>
  </w:style>
  <w:style w:styleId="Style_30" w:type="paragraph">
    <w:name w:val="heading 2"/>
    <w:next w:val="Style_1"/>
    <w:link w:val="Style_30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0_ch" w:type="character">
    <w:name w:val="heading 2"/>
    <w:link w:val="Style_30"/>
    <w:rPr>
      <w:rFonts w:ascii="XO Thames" w:hAnsi="XO Thames"/>
      <w:b w:val="1"/>
      <w:sz w:val="28"/>
    </w:rPr>
  </w:style>
  <w:style w:default="1" w:styleId="Style_5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MyOffice-CoreFramework-Linux/33-1224.848.9400.852.1@a485da99dcc738e8c7d147737040082c6b3f9fe8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2025-04-29T08:22:18Z</dcterms:modified>
</cp:coreProperties>
</file>