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Субсидирование</w:t>
      </w:r>
      <w:r>
        <w:rPr>
          <w:rFonts w:ascii="Times New Roman" w:hAnsi="Times New Roman"/>
          <w:b w:val="0"/>
          <w:sz w:val="28"/>
          <w:u w:val="single"/>
        </w:rPr>
        <w:t xml:space="preserve"> части затрат,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связанных с технологическим присоединением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энергопринимающих</w:t>
      </w:r>
      <w:r>
        <w:rPr>
          <w:rFonts w:ascii="Times New Roman" w:hAnsi="Times New Roman"/>
          <w:b w:val="0"/>
          <w:sz w:val="28"/>
          <w:u w:val="single"/>
        </w:rPr>
        <w:t xml:space="preserve"> устройств к электрическим сетям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убсидирование </w:t>
      </w:r>
      <w:r>
        <w:rPr>
          <w:rFonts w:ascii="Times New Roman" w:hAnsi="Times New Roman"/>
          <w:b w:val="0"/>
          <w:sz w:val="28"/>
          <w:u w:val="single"/>
        </w:rPr>
        <w:t>части затрат,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связанных с технологическим присоединением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энергопринимающих</w:t>
      </w:r>
      <w:r>
        <w:rPr>
          <w:rFonts w:ascii="Times New Roman" w:hAnsi="Times New Roman"/>
          <w:b w:val="0"/>
          <w:sz w:val="28"/>
          <w:u w:val="single"/>
        </w:rPr>
        <w:t xml:space="preserve"> устройств к электрическим сетям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sz w:val="28"/>
          <w:u w:val="single"/>
        </w:rPr>
        <w:t xml:space="preserve">убсидирования </w:t>
      </w:r>
      <w:r>
        <w:rPr>
          <w:rFonts w:ascii="Times New Roman" w:hAnsi="Times New Roman"/>
          <w:b w:val="0"/>
          <w:sz w:val="28"/>
          <w:u w:val="single"/>
        </w:rPr>
        <w:t>части затрат,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связанных с технологическим присоединением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энергопринимающих</w:t>
      </w:r>
      <w:r>
        <w:rPr>
          <w:rFonts w:ascii="Times New Roman" w:hAnsi="Times New Roman"/>
          <w:b w:val="0"/>
          <w:sz w:val="28"/>
          <w:u w:val="single"/>
        </w:rPr>
        <w:t xml:space="preserve"> устройств к электрическим сетям</w:t>
      </w:r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 xml:space="preserve">субъекты малого и среднего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 xml:space="preserve"> зарегистрированные и действующие на территории Прокопьевского муниципального округа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29.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02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2025-04-29T08:43:54Z</dcterms:modified>
</cp:coreProperties>
</file>