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142" w:left="-142" w:right="0"/>
        <w:jc w:val="center"/>
        <w:rPr>
          <w:b/>
          <w:sz w:val="21"/>
        </w:rPr>
      </w:pPr>
      <w:r>
        <w:rPr>
          <w:b/>
          <w:sz w:val="21"/>
        </w:rPr>
      </w:r>
    </w:p>
    <w:p>
      <w:pPr>
        <w:pStyle w:val="Normal"/>
        <w:ind w:firstLine="142" w:left="-142" w:right="0"/>
        <w:jc w:val="center"/>
        <w:rPr>
          <w:b/>
          <w:sz w:val="21"/>
        </w:rPr>
      </w:pPr>
      <w:r>
        <w:rPr>
          <w:b/>
          <w:sz w:val="21"/>
        </w:rPr>
        <w:t>П А М Я Т К А № 2</w:t>
      </w:r>
    </w:p>
    <w:p>
      <w:pPr>
        <w:pStyle w:val="ConsPlusTitle1"/>
        <w:jc w:val="center"/>
        <w:rPr>
          <w:rFonts w:ascii="Times New Roman" w:hAnsi="Times New Roman"/>
          <w:sz w:val="21"/>
        </w:rPr>
      </w:pPr>
      <w:r>
        <w:rPr>
          <w:rFonts w:ascii="Times New Roman" w:hAnsi="Times New Roman"/>
          <w:b w:val="false"/>
          <w:sz w:val="21"/>
        </w:rPr>
        <w:t xml:space="preserve">о порядке подачи документов для включения в состав участников </w:t>
      </w:r>
      <w:r>
        <w:rPr>
          <w:rFonts w:ascii="Times New Roman" w:hAnsi="Times New Roman"/>
          <w:b w:val="false"/>
          <w:sz w:val="22"/>
        </w:rPr>
        <w:t>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</w:p>
    <w:p>
      <w:pPr>
        <w:pStyle w:val="ConsPlusNormal1"/>
        <w:widowControl/>
        <w:ind w:firstLine="540" w:left="0" w:right="0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</w:r>
    </w:p>
    <w:p>
      <w:pPr>
        <w:pStyle w:val="Normal"/>
        <w:jc w:val="both"/>
        <w:rPr>
          <w:sz w:val="21"/>
        </w:rPr>
      </w:pPr>
      <w:r>
        <w:rPr>
          <w:sz w:val="21"/>
        </w:rPr>
        <w:t>Настоящая памятка разработана в соответствии с Правилами предоставления молодым семьям социальных выплат на приобретение (строительство) жилья и их использования, утвержденными постановлением Правительства Российской Федерации от 17.12.2010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 (Приложение № 1), далее по тексту - Правила.</w:t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 xml:space="preserve">Целью мероприятия является предоставление государственной поддержки в решении жилищной проблемы молодым семьям, признанным в установленном порядке нуждающимися в улучшении жилищных условий и располагающими собственными (заемными) средствами необходимыми для оплаты строительства или приобретения жилого помещения на разницу между стоимостью жилого помещения и социальной выплатой. </w:t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Право на улучшение жилищных условий с использованием социальной выплаты предоставляется молодой семье только один раз. Участие в мероприятии является добровольным и носит заявительный характер.</w:t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</w:r>
    </w:p>
    <w:p>
      <w:pPr>
        <w:pStyle w:val="Normal"/>
        <w:ind w:firstLine="425" w:left="0" w:right="0"/>
        <w:jc w:val="both"/>
        <w:rPr/>
      </w:pPr>
      <w:r>
        <w:rPr>
          <w:b/>
        </w:rPr>
        <w:t xml:space="preserve">Для участия в мероприятии в целях использования социальной выплаты в соответствии с подпунктами «а» - «д», «ж» и «з» пункта 2 Правил </w:t>
      </w:r>
      <w:r>
        <w:rPr>
          <w:b w:val="false"/>
        </w:rPr>
        <w:t>/семьи, изъявившие желание приобрести (построить) жилое помещение, не имеющие действующего ипотечного кредита/</w:t>
      </w:r>
      <w:r>
        <w:rPr/>
        <w:t xml:space="preserve"> молодая семья подает в орган местного самоуправления по месту жительства (администрацию Прокопьевского муниципального округа) следующие документы:</w:t>
      </w:r>
    </w:p>
    <w:p>
      <w:pPr>
        <w:pStyle w:val="Normal"/>
        <w:jc w:val="both"/>
        <w:rPr/>
      </w:pPr>
      <w:r>
        <w:rPr/>
        <w:t xml:space="preserve">     </w:t>
      </w:r>
      <w:r>
        <w:rPr/>
        <w:t>а) заявление по форме согласно приложению N 2 к настоящим Правилам (при личном обращении в орган местного самоуправления по месту жительства) в 2 экземплярах (один экземпляр возвращается заявителю с указанием даты принятия заявления и приложенных к нему документов);</w:t>
      </w:r>
    </w:p>
    <w:p>
      <w:pPr>
        <w:pStyle w:val="Normal"/>
        <w:jc w:val="both"/>
        <w:rPr/>
      </w:pPr>
      <w:r>
        <w:rPr/>
        <w:t xml:space="preserve">     </w:t>
      </w:r>
      <w:r>
        <w:rPr/>
        <w:t>б) копия документов, удостоверяющих личность каждого члена семьи;</w:t>
      </w:r>
    </w:p>
    <w:p>
      <w:pPr>
        <w:pStyle w:val="Normal"/>
        <w:jc w:val="both"/>
        <w:rPr/>
      </w:pPr>
      <w:r>
        <w:rPr/>
        <w:t xml:space="preserve">     </w:t>
      </w:r>
      <w:r>
        <w:rPr/>
        <w:t>в) копия свидетельства о браке (на неполную семью не распространяется);</w:t>
      </w:r>
    </w:p>
    <w:p>
      <w:pPr>
        <w:pStyle w:val="Normal"/>
        <w:jc w:val="both"/>
        <w:rPr/>
      </w:pPr>
      <w:r>
        <w:rPr/>
        <w:t xml:space="preserve">     </w:t>
      </w:r>
      <w:r>
        <w:rPr/>
        <w:t>г) документ, подтверждающий признание молодой семьи нуждающейся в жилых помещениях;</w:t>
      </w:r>
    </w:p>
    <w:p>
      <w:pPr>
        <w:pStyle w:val="Normal"/>
        <w:jc w:val="both"/>
        <w:rPr>
          <w:i/>
          <w:i/>
        </w:rPr>
      </w:pPr>
      <w:r>
        <w:rPr/>
        <w:t xml:space="preserve">    </w:t>
      </w:r>
      <w:r>
        <w:rPr/>
        <w:t xml:space="preserve">д) документы, подтверждающие признание молодой семьи имеющей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выплаты, в соответствии с требованиями </w:t>
      </w:r>
      <w:r>
        <w:rPr>
          <w:i/>
        </w:rPr>
        <w:t>Постановления Коллегии Администрации Кемеровской области от 10.08.2011 № 379 «О реализации на территории Кемеровской области - Кузбасса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 /</w:t>
      </w:r>
      <w:r>
        <w:rPr>
          <w:i w:val="false"/>
          <w:u w:val="single"/>
        </w:rPr>
        <w:t>памятка прилагается</w:t>
      </w:r>
      <w:r>
        <w:rPr>
          <w:i w:val="false"/>
          <w:u w:val="none"/>
        </w:rPr>
        <w:t>/</w:t>
      </w:r>
      <w:r>
        <w:rPr>
          <w:i/>
          <w:u w:val="none"/>
        </w:rPr>
        <w:t>;</w:t>
      </w:r>
    </w:p>
    <w:p>
      <w:pPr>
        <w:pStyle w:val="Normal"/>
        <w:jc w:val="both"/>
        <w:rPr/>
      </w:pPr>
      <w:r>
        <w:rPr/>
        <w:t xml:space="preserve"> </w:t>
      </w:r>
      <w:r>
        <w:rPr/>
        <w:t>е) копия документа, подтверждающего регистрацию в системе индивидуального (персонифицированного) учета каждого члена семьи;</w:t>
      </w:r>
    </w:p>
    <w:p>
      <w:pPr>
        <w:pStyle w:val="Normal"/>
        <w:jc w:val="both"/>
        <w:rPr/>
      </w:pPr>
      <w:r>
        <w:rPr/>
        <w:t xml:space="preserve">   </w:t>
      </w:r>
      <w:r>
        <w:rPr/>
        <w:t>ж) копия документа, подтверждающего участие одного или обоих супругов молодой семьи либо одного родителя в неполной молодой семье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(при наличии).</w:t>
      </w:r>
    </w:p>
    <w:p>
      <w:pPr>
        <w:pStyle w:val="Normal"/>
        <w:jc w:val="both"/>
        <w:rPr>
          <w:b/>
          <w:sz w:val="21"/>
        </w:rPr>
      </w:pPr>
      <w:r>
        <w:rPr>
          <w:b/>
          <w:sz w:val="21"/>
        </w:rPr>
      </w:r>
    </w:p>
    <w:p>
      <w:pPr>
        <w:pStyle w:val="Normal"/>
        <w:jc w:val="both"/>
        <w:rPr/>
      </w:pPr>
      <w:r>
        <w:rPr/>
        <w:t xml:space="preserve">    </w:t>
      </w:r>
      <w:r>
        <w:rPr>
          <w:b/>
        </w:rPr>
        <w:t>Для участия в мероприятии в целях использования социальной выплаты в соответствии с подпунктами «е» и «и» пункта 2 Правил /</w:t>
      </w:r>
      <w:r>
        <w:rPr>
          <w:b w:val="false"/>
        </w:rPr>
        <w:t>/семьи, которые приобрели жилое помещение, с использованием ипотечного кредита и имеющие действующий жилищный кредит/</w:t>
      </w:r>
      <w:r>
        <w:rPr/>
        <w:t xml:space="preserve"> молодая семья подает в орган местного самоуправления (администрацию Прокопьевского муниципального округа) по месту жительства следующие документы:</w:t>
      </w:r>
    </w:p>
    <w:p>
      <w:pPr>
        <w:pStyle w:val="Normal"/>
        <w:jc w:val="both"/>
        <w:rPr/>
      </w:pPr>
      <w:r>
        <w:rPr/>
        <w:t xml:space="preserve">     </w:t>
      </w:r>
      <w:r>
        <w:rPr/>
        <w:t>а) заявление по форме согласно приложению № 2 к Правилам в 2 экземплярах (один экземпляр возвращается заявителю с указанием даты принятия заявления и приложенных к нему документов);</w:t>
      </w:r>
    </w:p>
    <w:p>
      <w:pPr>
        <w:pStyle w:val="Normal"/>
        <w:jc w:val="both"/>
        <w:rPr/>
      </w:pPr>
      <w:r>
        <w:rPr/>
        <w:t xml:space="preserve">        </w:t>
      </w:r>
      <w:r>
        <w:rPr/>
        <w:t>б) копии документов, удостоверяющих личность каждого члена семьи;</w:t>
      </w:r>
    </w:p>
    <w:p>
      <w:pPr>
        <w:pStyle w:val="Normal"/>
        <w:jc w:val="both"/>
        <w:rPr/>
      </w:pPr>
      <w:r>
        <w:rPr/>
        <w:t xml:space="preserve">        </w:t>
      </w:r>
      <w:r>
        <w:rPr/>
        <w:t>в) копия свидетельства о браке (на неполную семью не распространяется);</w:t>
      </w:r>
    </w:p>
    <w:p>
      <w:pPr>
        <w:pStyle w:val="Normal"/>
        <w:jc w:val="both"/>
        <w:rPr/>
      </w:pPr>
      <w:r>
        <w:rPr/>
        <w:t xml:space="preserve">    </w:t>
      </w:r>
      <w:r>
        <w:rPr/>
        <w:t>г) выписка (выписки) из Единого государственного реестра недвижимости о правах на жилое помещение (жилой дом), приобретенное (построенное) с использованием средств жилищного кредита, либо при незавершенном строительстве жилого дома договор строительного подряда или иные документы, подтверждающие расходы по строительству жилого дома (далее - документы на строительство), - в случае использования социальной выплаты в соответствии с подпунктом «е» пункта 2  Правил;</w:t>
      </w:r>
    </w:p>
    <w:p>
      <w:pPr>
        <w:pStyle w:val="Normal"/>
        <w:jc w:val="both"/>
        <w:rPr/>
      </w:pPr>
      <w:r>
        <w:rPr/>
        <w:t xml:space="preserve">     </w:t>
      </w:r>
      <w:r>
        <w:rPr/>
        <w:t>д) копия договора участия в долевом строительстве (договора уступки прав требований по договору участия в долевом строительстве) - в случае использования социальной выплаты в соответствии с подпунктом «и» пункта 2 Правил;</w:t>
      </w:r>
    </w:p>
    <w:p>
      <w:pPr>
        <w:pStyle w:val="Normal"/>
        <w:jc w:val="both"/>
        <w:rPr/>
      </w:pPr>
      <w:r>
        <w:rPr/>
        <w:t xml:space="preserve">    </w:t>
      </w:r>
      <w:r>
        <w:rPr/>
        <w:t>е) копия договора жилищного кредита;</w:t>
      </w:r>
    </w:p>
    <w:p>
      <w:pPr>
        <w:pStyle w:val="Normal"/>
        <w:jc w:val="both"/>
        <w:rPr/>
      </w:pPr>
      <w:r>
        <w:rPr/>
        <w:t xml:space="preserve">  </w:t>
      </w:r>
      <w:r>
        <w:rPr/>
        <w:t>ж) копия договора кредита (займа) на погашение ранее предоставленного жилищного кредита - в случае использования социальной выплаты для погашения суммы основного долга (части суммы основного долга) и уплаты процентов по кредиту (займу) на погашение ранее предоставленного жилищного кредита;</w:t>
      </w:r>
    </w:p>
    <w:p>
      <w:pPr>
        <w:pStyle w:val="Normal"/>
        <w:jc w:val="both"/>
        <w:rPr/>
      </w:pPr>
      <w:r>
        <w:rPr/>
        <w:t xml:space="preserve">   </w:t>
      </w:r>
      <w:r>
        <w:rPr/>
        <w:t>з) документ, подтверждающий признание молодой семьи нуждающейся в жилом помещении в соответствии с пунктом 7 Правил на день заключения договора жилищного кредита;</w:t>
      </w:r>
    </w:p>
    <w:p>
      <w:pPr>
        <w:pStyle w:val="Normal"/>
        <w:jc w:val="both"/>
        <w:rPr/>
      </w:pPr>
      <w:r>
        <w:rPr/>
        <w:t xml:space="preserve">   </w:t>
      </w:r>
      <w:r>
        <w:rPr/>
        <w:t>и) справка кредитора (заимодавца) об оставшейся части суммы основного долга по жилищному кредиту или кредиту (займу) на погашение ранее предоставленного жилищного кредита, для погашения которого используется социальная выплата, и сумме задолженности по выплате процентов за пользование соответствующим кредитом;</w:t>
      </w:r>
    </w:p>
    <w:p>
      <w:pPr>
        <w:pStyle w:val="Normal"/>
        <w:jc w:val="both"/>
        <w:rPr/>
      </w:pPr>
      <w:r>
        <w:rPr/>
        <w:t xml:space="preserve"> </w:t>
      </w:r>
      <w:r>
        <w:rPr/>
        <w:t>к) копия документа, подтверждающего регистрацию в системе индивидуального (персонифицированного) учета каждого члена семьи;</w:t>
      </w:r>
    </w:p>
    <w:p>
      <w:pPr>
        <w:pStyle w:val="Normal"/>
        <w:jc w:val="both"/>
        <w:rPr/>
      </w:pPr>
      <w:r>
        <w:rPr/>
        <w:t xml:space="preserve">   </w:t>
      </w:r>
      <w:r>
        <w:rPr/>
        <w:t>л) копия документа, подтверждающего участие одного или обоих супругов молодой семьи либо одного родителя в неполной молодой семье в специальной военной операции (при наличии).</w:t>
      </w:r>
    </w:p>
    <w:p>
      <w:pPr>
        <w:pStyle w:val="Normal"/>
        <w:jc w:val="both"/>
        <w:rPr>
          <w:b/>
          <w:sz w:val="21"/>
        </w:rPr>
      </w:pPr>
      <w:r>
        <w:rPr>
          <w:b/>
          <w:sz w:val="21"/>
        </w:rPr>
      </w:r>
    </w:p>
    <w:p>
      <w:pPr>
        <w:pStyle w:val="Normal"/>
        <w:jc w:val="both"/>
        <w:rPr>
          <w:b/>
          <w:sz w:val="22"/>
        </w:rPr>
      </w:pPr>
      <w:r>
        <w:rPr>
          <w:b/>
          <w:sz w:val="22"/>
        </w:rPr>
        <w:t>Размер общей площади жилого помещения, с учетом которой определяется размер социальной выплаты, составляет:</w:t>
      </w:r>
    </w:p>
    <w:p>
      <w:pPr>
        <w:pStyle w:val="Normal"/>
        <w:numPr>
          <w:ilvl w:val="0"/>
          <w:numId w:val="1"/>
        </w:numPr>
        <w:ind w:firstLine="283" w:left="0" w:right="0"/>
        <w:jc w:val="both"/>
        <w:rPr>
          <w:sz w:val="21"/>
        </w:rPr>
      </w:pPr>
      <w:r>
        <w:rPr>
          <w:sz w:val="21"/>
        </w:rPr>
        <w:t>для семьи, состоящей из 2 человек (молодые супруги без детей или один молодой родитель и ребенок) - 42 кв. метра. Социальная выплата для «молодых супругов без детей» рассчитывается в размере 30% от расчетной стоимости жилья. Социальная выплата для « один молодой родитель и ребенок» рассчитывается в размере 35% от расчетной стоимости жилья.</w:t>
      </w:r>
    </w:p>
    <w:p>
      <w:pPr>
        <w:pStyle w:val="Normal"/>
        <w:numPr>
          <w:ilvl w:val="0"/>
          <w:numId w:val="1"/>
        </w:numPr>
        <w:ind w:firstLine="283" w:left="0" w:right="0"/>
        <w:jc w:val="both"/>
        <w:rPr>
          <w:sz w:val="21"/>
        </w:rPr>
      </w:pPr>
      <w:r>
        <w:rPr>
          <w:sz w:val="21"/>
        </w:rPr>
        <w:t>для семьи, состоящей из 3х или более человек, включающей помимо молодых супругов, одного ребенка или более (либо семьи, состоящей из одного молодого родителя и двух или более детей) – по 18 кв. метров на одного человека. Социальная выплата при этом рассчитывается в размере 35% от расчетной стоимости жилья</w:t>
      </w:r>
    </w:p>
    <w:p>
      <w:pPr>
        <w:pStyle w:val="Normal"/>
        <w:jc w:val="both"/>
        <w:rPr>
          <w:i/>
          <w:i/>
          <w:color w:val="FB290D"/>
          <w:sz w:val="22"/>
        </w:rPr>
      </w:pPr>
      <w:r>
        <w:rPr>
          <w:sz w:val="22"/>
        </w:rPr>
        <w:tab/>
        <w:t xml:space="preserve">Стоимость 1 кв м по состоянию </w:t>
      </w:r>
      <w:r>
        <w:rPr>
          <w:color w:val="FB290D"/>
          <w:sz w:val="22"/>
        </w:rPr>
        <w:t xml:space="preserve">на </w:t>
      </w:r>
      <w:r>
        <w:rPr>
          <w:color w:val="FB290D"/>
          <w:sz w:val="22"/>
        </w:rPr>
        <w:t>2</w:t>
      </w:r>
      <w:r>
        <w:rPr>
          <w:color w:val="FB290D"/>
          <w:sz w:val="22"/>
        </w:rPr>
        <w:t xml:space="preserve"> квартал 202</w:t>
      </w:r>
      <w:r>
        <w:rPr>
          <w:color w:val="FB290D"/>
          <w:sz w:val="22"/>
        </w:rPr>
        <w:t>5</w:t>
      </w:r>
      <w:r>
        <w:rPr>
          <w:color w:val="FB290D"/>
          <w:sz w:val="22"/>
        </w:rPr>
        <w:t xml:space="preserve"> года</w:t>
      </w:r>
      <w:r>
        <w:rPr>
          <w:sz w:val="22"/>
        </w:rPr>
        <w:t xml:space="preserve"> составляет </w:t>
      </w:r>
      <w:r>
        <w:rPr>
          <w:color w:val="FB290D"/>
          <w:sz w:val="22"/>
        </w:rPr>
        <w:t>72847</w:t>
      </w:r>
      <w:r>
        <w:rPr>
          <w:sz w:val="22"/>
        </w:rPr>
        <w:t xml:space="preserve"> руб. и утверждена постановлением администрации Прокопьевского муниципального округа, являющимся норматино-правовым актом.  </w:t>
      </w:r>
    </w:p>
    <w:p>
      <w:pPr>
        <w:pStyle w:val="Normal"/>
        <w:jc w:val="both"/>
        <w:rPr>
          <w:sz w:val="22"/>
        </w:rPr>
      </w:pPr>
      <w:r>
        <w:rPr>
          <w:sz w:val="22"/>
        </w:rPr>
      </w:r>
    </w:p>
    <w:p>
      <w:pPr>
        <w:pStyle w:val="Normal"/>
        <w:ind w:firstLine="567" w:left="0" w:right="0"/>
        <w:jc w:val="both"/>
        <w:rPr>
          <w:sz w:val="22"/>
        </w:rPr>
      </w:pPr>
      <w:r>
        <w:rPr>
          <w:sz w:val="22"/>
        </w:rPr>
        <w:t>Орган местного самоуправления организует работу по проверке сведений, содержащихся в предоставленных документах, и в течение 5 рабочих дней со дня представления этих документов принимает решение о признании либо об отказе в признании молодой семьи участницей мероприятий. О принятом решении молодая семья уведомляется в течение 3 рабочих дней.</w:t>
      </w:r>
    </w:p>
    <w:p>
      <w:pPr>
        <w:pStyle w:val="Normal"/>
        <w:jc w:val="both"/>
        <w:rPr>
          <w:sz w:val="21"/>
        </w:rPr>
      </w:pPr>
      <w:r>
        <w:rPr>
          <w:sz w:val="21"/>
        </w:rPr>
      </w:r>
    </w:p>
    <w:p>
      <w:pPr>
        <w:pStyle w:val="Normal"/>
        <w:jc w:val="both"/>
        <w:rPr>
          <w:b/>
          <w:sz w:val="22"/>
        </w:rPr>
      </w:pPr>
      <w:r>
        <w:rPr>
          <w:b/>
          <w:sz w:val="22"/>
        </w:rPr>
        <w:t>Основаниями для отказа в признании молодой семьи участницей мероприятия являются:</w:t>
      </w:r>
    </w:p>
    <w:p>
      <w:pPr>
        <w:pStyle w:val="Normal"/>
        <w:jc w:val="both"/>
        <w:rPr>
          <w:sz w:val="22"/>
        </w:rPr>
      </w:pPr>
      <w:r>
        <w:rPr/>
        <w:t xml:space="preserve">      </w:t>
      </w:r>
      <w:r>
        <w:rPr>
          <w:sz w:val="22"/>
        </w:rPr>
        <w:t>а) несоответствие молодой семьи требованиям, предусмотренным пунктом 6 Правил;</w:t>
      </w:r>
    </w:p>
    <w:p>
      <w:pPr>
        <w:pStyle w:val="Normal"/>
        <w:jc w:val="both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>б) непредставление или представление не в полном объеме документов, предусмотренных пунктами 18 или 19 Правил;</w:t>
      </w:r>
    </w:p>
    <w:p>
      <w:pPr>
        <w:pStyle w:val="Normal"/>
        <w:jc w:val="both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>в) недостоверность сведений, содержащихся в представленных документах;</w:t>
      </w:r>
    </w:p>
    <w:p>
      <w:pPr>
        <w:pStyle w:val="Normal"/>
        <w:jc w:val="both"/>
        <w:rPr>
          <w:sz w:val="22"/>
        </w:rPr>
      </w:pPr>
      <w:r>
        <w:rPr>
          <w:sz w:val="22"/>
        </w:rPr>
        <w:t xml:space="preserve">   </w:t>
      </w:r>
      <w:r>
        <w:rPr>
          <w:sz w:val="22"/>
        </w:rPr>
        <w:t>г)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бюджета, за исключением средств (части средств) материнского (семейного) капитала, а также мер государственной поддержки семей, имеющих детей, в части погашения обязательств по ипотечным жилищным кредитам, предусмотренных Федеральным законом «О мерах государственной поддержки семей, имеющих детей, в части погашения обязательств по ипотечным жилищным кредитам (займам) и о внесении изменений в статью 13.2 Федерального закона «Об актах гражданского состояния».</w:t>
      </w:r>
    </w:p>
    <w:p>
      <w:pPr>
        <w:pStyle w:val="Normal"/>
        <w:ind w:firstLine="567" w:left="0" w:right="0"/>
        <w:jc w:val="both"/>
        <w:rPr>
          <w:sz w:val="22"/>
        </w:rPr>
      </w:pPr>
      <w:r>
        <w:rPr>
          <w:sz w:val="22"/>
        </w:rPr>
        <w:t>Повторное обращение с заявлением об участии в мероприятии допускается после устранения оснований для отказа.</w:t>
      </w:r>
    </w:p>
    <w:p>
      <w:pPr>
        <w:pStyle w:val="Normal"/>
        <w:jc w:val="both"/>
        <w:rPr>
          <w:sz w:val="22"/>
        </w:rPr>
      </w:pPr>
      <w:bookmarkStart w:id="0" w:name="Par0"/>
      <w:bookmarkEnd w:id="0"/>
      <w:r>
        <w:rPr>
          <w:sz w:val="21"/>
        </w:rPr>
        <w:t xml:space="preserve">          </w:t>
      </w:r>
      <w:r>
        <w:rPr>
          <w:sz w:val="21"/>
        </w:rPr>
        <w:t>Д</w:t>
      </w:r>
      <w:r>
        <w:rPr>
          <w:sz w:val="22"/>
        </w:rPr>
        <w:t xml:space="preserve">окументы могут быть поданы от имени молодой семьи одним из ее совершеннолетних членов либо иным уполномоченным лицом при наличии надлежащим образом оформленных полномочий в администрацию Прокопьевского муниципального округа, </w:t>
      </w:r>
      <w:r>
        <w:rPr>
          <w:sz w:val="21"/>
        </w:rPr>
        <w:t xml:space="preserve">по адресу: г. Прокопьевск, пр. Гагарина 1в, жилищный отдел, каб. № 219, тел. (3846) 62-01-62, дни приема: пн. – чт. с 8-00 до 17-00, пт.  с 8-00 до 16-00, обеденный перерыв с 12-00 до 13-00.       </w:t>
      </w:r>
    </w:p>
    <w:sectPr>
      <w:type w:val="nextPage"/>
      <w:pgSz w:w="11906" w:h="16838"/>
      <w:pgMar w:left="709" w:right="424" w:gutter="0" w:header="0" w:top="284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auto"/>
    <w:pitch w:val="default"/>
  </w:font>
  <w:font w:name="XO Thames">
    <w:charset w:val="01"/>
    <w:family w:val="auto"/>
    <w:pitch w:val="default"/>
  </w:font>
  <w:font w:name="Tahoma">
    <w:charset w:val="01"/>
    <w:family w:val="auto"/>
    <w:pitch w:val="default"/>
  </w:font>
  <w:font w:name="Arial">
    <w:charset w:val="01"/>
    <w:family w:val="auto"/>
    <w:pitch w:val="default"/>
  </w:font>
  <w:font w:name="PT Astra Serif">
    <w:charset w:val="01"/>
    <w:family w:val="auto"/>
    <w:pitch w:val="default"/>
  </w:font>
  <w:font w:name="Courier New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russianLow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  <w:rPr/>
    </w:lvl>
    <w:lvl w:ilvl="3">
      <w:start w:val="1"/>
      <w:numFmt w:val="russianLower"/>
      <w:lvlText w:val="%4)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  <w:rPr/>
    </w:lvl>
    <w:lvl w:ilvl="6">
      <w:start w:val="1"/>
      <w:numFmt w:val="russianLower"/>
      <w:lvlText w:val="%7)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)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)"/>
      <w:lvlJc w:val="right"/>
      <w:pPr>
        <w:tabs>
          <w:tab w:val="num" w:pos="0"/>
        </w:tabs>
        <w:ind w:left="648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Endnote">
    <w:name w:val="Endnote"/>
    <w:link w:val="Endnote1"/>
    <w:qFormat/>
    <w:rPr>
      <w:rFonts w:ascii="XO Thames" w:hAnsi="XO Thames"/>
      <w:color w:val="000000"/>
      <w:spacing w:val="0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ConsPlusNormal">
    <w:name w:val="ConsPlusNormal"/>
    <w:link w:val="ConsPlusNormal1"/>
    <w:qFormat/>
    <w:rPr>
      <w:rFonts w:ascii="Arial" w:hAnsi="Arial"/>
      <w:color w:val="000000"/>
      <w:spacing w:val="0"/>
      <w:sz w:val="20"/>
    </w:rPr>
  </w:style>
  <w:style w:type="character" w:styleId="Contents5">
    <w:name w:val="Contents 5"/>
    <w:link w:val="Contents52"/>
    <w:qFormat/>
    <w:rPr>
      <w:rFonts w:ascii="XO Thames" w:hAnsi="XO Thames"/>
      <w:sz w:val="28"/>
    </w:rPr>
  </w:style>
  <w:style w:type="character" w:styleId="Style9">
    <w:name w:val="Заголовок"/>
    <w:link w:val="1"/>
    <w:qFormat/>
    <w:rPr>
      <w:rFonts w:ascii="PT Astra Serif" w:hAnsi="PT Astra Serif"/>
      <w:sz w:val="28"/>
    </w:rPr>
  </w:style>
  <w:style w:type="character" w:styleId="List1">
    <w:name w:val="List1"/>
    <w:basedOn w:val="Textbody"/>
    <w:qFormat/>
    <w:rPr>
      <w:rFonts w:ascii="PT Astra Serif" w:hAnsi="PT Astra Serif"/>
    </w:rPr>
  </w:style>
  <w:style w:type="character" w:styleId="BodyText2">
    <w:name w:val="Body Text 2"/>
    <w:link w:val="BodyText21"/>
    <w:qFormat/>
    <w:rPr>
      <w:sz w:val="28"/>
    </w:rPr>
  </w:style>
  <w:style w:type="character" w:styleId="Contents3">
    <w:name w:val="Contents 3"/>
    <w:link w:val="Contents32"/>
    <w:qFormat/>
    <w:rPr>
      <w:rFonts w:ascii="XO Thames" w:hAnsi="XO Thames"/>
      <w:sz w:val="28"/>
    </w:rPr>
  </w:style>
  <w:style w:type="character" w:styleId="Contents31">
    <w:name w:val="Contents 31"/>
    <w:qFormat/>
    <w:rPr>
      <w:rFonts w:ascii="XO Thames" w:hAnsi="XO Thames"/>
      <w:color w:val="000000"/>
      <w:spacing w:val="0"/>
      <w:sz w:val="28"/>
    </w:rPr>
  </w:style>
  <w:style w:type="character" w:styleId="Internetlink">
    <w:name w:val="Internet link"/>
    <w:link w:val="Internetlink1"/>
    <w:qFormat/>
    <w:rPr>
      <w:rFonts w:ascii="Times New Roman" w:hAnsi="Times New Roman"/>
      <w:color w:val="0000FF"/>
      <w:spacing w:val="0"/>
      <w:sz w:val="20"/>
      <w:u w:val="single"/>
    </w:rPr>
  </w:style>
  <w:style w:type="character" w:styleId="Caption1">
    <w:name w:val="Caption1"/>
    <w:qFormat/>
    <w:rPr>
      <w:rFonts w:ascii="PT Astra Serif" w:hAnsi="PT Astra Serif"/>
      <w:i/>
      <w:sz w:val="24"/>
    </w:rPr>
  </w:style>
  <w:style w:type="character" w:styleId="Contents21">
    <w:name w:val="Contents 21"/>
    <w:link w:val="Contents22"/>
    <w:qFormat/>
    <w:rPr>
      <w:rFonts w:ascii="XO Thames" w:hAnsi="XO Thames"/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Style10">
    <w:name w:val="Колонтитул"/>
    <w:link w:val="12"/>
    <w:qFormat/>
    <w:rPr>
      <w:rFonts w:ascii="XO Thames" w:hAnsi="XO Thames"/>
      <w:color w:val="000000"/>
      <w:spacing w:val="0"/>
      <w:sz w:val="28"/>
    </w:rPr>
  </w:style>
  <w:style w:type="character" w:styleId="Style11">
    <w:name w:val="Указатель"/>
    <w:link w:val="11"/>
    <w:qFormat/>
    <w:rPr>
      <w:rFonts w:ascii="PT Astra Serif" w:hAnsi="PT Astra Serif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Contents71">
    <w:name w:val="Contents 71"/>
    <w:link w:val="Contents72"/>
    <w:qFormat/>
    <w:rPr>
      <w:rFonts w:ascii="XO Thames" w:hAnsi="XO Thames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color w:val="000000"/>
      <w:spacing w:val="0"/>
      <w:sz w:val="22"/>
    </w:rPr>
  </w:style>
  <w:style w:type="character" w:styleId="Contents1">
    <w:name w:val="Contents 1"/>
    <w:qFormat/>
    <w:rPr>
      <w:rFonts w:ascii="XO Thames" w:hAnsi="XO Thames"/>
      <w:b/>
      <w:color w:val="000000"/>
      <w:spacing w:val="0"/>
      <w:sz w:val="28"/>
    </w:rPr>
  </w:style>
  <w:style w:type="character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styleId="Contents61">
    <w:name w:val="Contents 61"/>
    <w:link w:val="Contents62"/>
    <w:qFormat/>
    <w:rPr>
      <w:rFonts w:ascii="XO Thames" w:hAnsi="XO Thames"/>
      <w:sz w:val="28"/>
    </w:rPr>
  </w:style>
  <w:style w:type="character" w:styleId="ConsPlusTitle">
    <w:name w:val="ConsPlusTitle"/>
    <w:link w:val="ConsPlusTitle1"/>
    <w:qFormat/>
    <w:rPr>
      <w:rFonts w:ascii="Arial" w:hAnsi="Arial"/>
      <w:b/>
      <w:color w:val="000000"/>
      <w:spacing w:val="0"/>
      <w:sz w:val="20"/>
    </w:rPr>
  </w:style>
  <w:style w:type="character" w:styleId="Contents9">
    <w:name w:val="Contents 9"/>
    <w:qFormat/>
    <w:rPr>
      <w:rFonts w:ascii="XO Thames" w:hAnsi="XO Thames"/>
      <w:color w:val="000000"/>
      <w:spacing w:val="0"/>
      <w:sz w:val="28"/>
    </w:rPr>
  </w:style>
  <w:style w:type="character" w:styleId="Contents8">
    <w:name w:val="Contents 8"/>
    <w:qFormat/>
    <w:rPr>
      <w:rFonts w:ascii="XO Thames" w:hAnsi="XO Thames"/>
      <w:color w:val="000000"/>
      <w:spacing w:val="0"/>
      <w:sz w:val="28"/>
    </w:rPr>
  </w:style>
  <w:style w:type="character" w:styleId="Contents41">
    <w:name w:val="Contents 41"/>
    <w:link w:val="Contents42"/>
    <w:qFormat/>
    <w:rPr>
      <w:rFonts w:ascii="XO Thames" w:hAnsi="XO Thames"/>
      <w:sz w:val="28"/>
    </w:rPr>
  </w:style>
  <w:style w:type="character" w:styleId="Contents91">
    <w:name w:val="Contents 91"/>
    <w:link w:val="Contents92"/>
    <w:qFormat/>
    <w:rPr>
      <w:rFonts w:ascii="XO Thames" w:hAnsi="XO Thames"/>
      <w:sz w:val="28"/>
    </w:rPr>
  </w:style>
  <w:style w:type="character" w:styleId="Heading41">
    <w:name w:val="Heading 41"/>
    <w:qFormat/>
    <w:rPr>
      <w:rFonts w:ascii="XO Thames" w:hAnsi="XO Thames"/>
      <w:b/>
      <w:color w:val="000000"/>
      <w:spacing w:val="0"/>
      <w:sz w:val="24"/>
    </w:rPr>
  </w:style>
  <w:style w:type="character" w:styleId="Contents11">
    <w:name w:val="Contents 11"/>
    <w:link w:val="Contents12"/>
    <w:qFormat/>
    <w:rPr>
      <w:rFonts w:ascii="XO Thames" w:hAnsi="XO Thames"/>
      <w:b/>
      <w:sz w:val="28"/>
    </w:rPr>
  </w:style>
  <w:style w:type="character" w:styleId="Contents51">
    <w:name w:val="Contents 51"/>
    <w:qFormat/>
    <w:rPr>
      <w:rFonts w:ascii="XO Thames" w:hAnsi="XO Thames"/>
      <w:color w:val="000000"/>
      <w:spacing w:val="0"/>
      <w:sz w:val="28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ConsPlusNonformat">
    <w:name w:val="ConsPlusNonformat"/>
    <w:link w:val="ConsPlusNonformat1"/>
    <w:qFormat/>
    <w:rPr>
      <w:rFonts w:ascii="Courier New" w:hAnsi="Courier New"/>
      <w:color w:val="000000"/>
      <w:spacing w:val="0"/>
      <w:sz w:val="20"/>
    </w:rPr>
  </w:style>
  <w:style w:type="character" w:styleId="Contents81">
    <w:name w:val="Contents 81"/>
    <w:link w:val="Contents82"/>
    <w:qFormat/>
    <w:rPr>
      <w:rFonts w:ascii="XO Thames" w:hAnsi="XO Thames"/>
      <w:sz w:val="28"/>
    </w:rPr>
  </w:style>
  <w:style w:type="character" w:styleId="DefaultParagraphFont">
    <w:name w:val="Default Paragraph Font"/>
    <w:link w:val="DefaultParagraphFont1"/>
    <w:qFormat/>
    <w:rPr>
      <w:rFonts w:ascii="Times New Roman" w:hAnsi="Times New Roman"/>
      <w:color w:val="000000"/>
      <w:spacing w:val="0"/>
      <w:sz w:val="20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Textbody">
    <w:name w:val="Text body"/>
    <w:qFormat/>
    <w:rPr/>
  </w:style>
  <w:style w:type="paragraph" w:styleId="1">
    <w:name w:val="Заголовок1"/>
    <w:basedOn w:val="Normal"/>
    <w:next w:val="BodyText"/>
    <w:link w:val="Style9"/>
    <w:qFormat/>
    <w:pPr>
      <w:keepNext w:val="true"/>
      <w:spacing w:before="240" w:after="120"/>
    </w:pPr>
    <w:rPr>
      <w:rFonts w:ascii="PT Astra Serif" w:hAnsi="PT Astra Serif"/>
      <w:sz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/>
    </w:rPr>
  </w:style>
  <w:style w:type="paragraph" w:styleId="Caption">
    <w:name w:val="caption"/>
    <w:basedOn w:val="Normal"/>
    <w:qFormat/>
    <w:pPr>
      <w:spacing w:before="120" w:after="120"/>
    </w:pPr>
    <w:rPr>
      <w:rFonts w:ascii="PT Astra Serif" w:hAnsi="PT Astra Serif"/>
      <w:i/>
      <w:sz w:val="24"/>
    </w:rPr>
  </w:style>
  <w:style w:type="paragraph" w:styleId="11">
    <w:name w:val="Указатель1"/>
    <w:basedOn w:val="Normal"/>
    <w:link w:val="Style11"/>
    <w:qFormat/>
    <w:pPr/>
    <w:rPr>
      <w:rFonts w:ascii="PT Astra Serif" w:hAnsi="PT Astra Serif"/>
    </w:rPr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left="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left="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BalloonText1">
    <w:name w:val="Balloon Text1"/>
    <w:basedOn w:val="Normal"/>
    <w:link w:val="BalloonText"/>
    <w:qFormat/>
    <w:pPr/>
    <w:rPr>
      <w:rFonts w:ascii="Tahoma" w:hAnsi="Tahoma"/>
      <w:sz w:val="16"/>
    </w:rPr>
  </w:style>
  <w:style w:type="paragraph" w:styleId="Endnote1">
    <w:name w:val="Endnote1"/>
    <w:link w:val="End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ConsPlusNormal1">
    <w:name w:val="ConsPlusNormal1"/>
    <w:link w:val="ConsPlusNormal"/>
    <w:qFormat/>
    <w:pPr>
      <w:widowControl w:val="false"/>
      <w:bidi w:val="0"/>
      <w:spacing w:lineRule="auto" w:line="240" w:before="0" w:after="0"/>
      <w:ind w:firstLine="720" w:left="0" w:right="0"/>
      <w:jc w:val="left"/>
    </w:pPr>
    <w:rPr>
      <w:rFonts w:ascii="Arial" w:hAnsi="Aria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52">
    <w:name w:val="Contents 52"/>
    <w:link w:val="Contents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BodyText21">
    <w:name w:val="Body Text 21"/>
    <w:basedOn w:val="Normal"/>
    <w:link w:val="BodyText2"/>
    <w:qFormat/>
    <w:pPr>
      <w:ind w:firstLine="709" w:left="0" w:right="0"/>
      <w:jc w:val="both"/>
    </w:pPr>
    <w:rPr>
      <w:sz w:val="28"/>
    </w:rPr>
  </w:style>
  <w:style w:type="paragraph" w:styleId="Contents32">
    <w:name w:val="Contents 32"/>
    <w:link w:val="Contents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left="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1">
    <w:name w:val="Internet link1"/>
    <w:link w:val="Internetlink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Contents22">
    <w:name w:val="Contents 22"/>
    <w:link w:val="Contents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2">
    <w:name w:val="Колонтитул1"/>
    <w:link w:val="Style10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72">
    <w:name w:val="Contents 72"/>
    <w:link w:val="Contents7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Internetlink2">
    <w:name w:val="Internet link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erandFooter1">
    <w:name w:val="Header and Footer1"/>
    <w:link w:val="HeaderandFooter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62">
    <w:name w:val="Contents 62"/>
    <w:link w:val="Contents6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Title1">
    <w:name w:val="ConsPlusTitle1"/>
    <w:link w:val="ConsPlusTitle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Arial" w:hAnsi="Arial" w:eastAsia="Tahoma" w:cs="Noto Sans Devanagari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42">
    <w:name w:val="Contents 42"/>
    <w:link w:val="Contents4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92">
    <w:name w:val="Contents 92"/>
    <w:link w:val="Contents9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12">
    <w:name w:val="Contents 12"/>
    <w:link w:val="Contents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left="8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ConsPlusNonformat1">
    <w:name w:val="ConsPlusNonformat1"/>
    <w:link w:val="ConsPlusNonformat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82">
    <w:name w:val="Contents 82"/>
    <w:link w:val="Contents8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table" w:default="1" w:styleId="Style_5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LibreOffice/24.8.4.2$Linux_X86_64 LibreOffice_project/480$Build-2</Application>
  <AppVersion>15.0000</AppVersion>
  <Pages>2</Pages>
  <Words>1146</Words>
  <Characters>7779</Characters>
  <CharactersWithSpaces>9008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2025-06-10T09:14:51Z</dcterms:modified>
  <cp:revision>1</cp:revision>
  <dc:subject/>
  <dc:title/>
</cp:coreProperties>
</file>