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Сводный отчет о проведении оценки регулирующего воздействия 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  <w:sz w:val="18"/>
        </w:rPr>
      </w:pPr>
    </w:p>
    <w:p w14:paraId="03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Наименование проекта</w:t>
      </w:r>
      <w:r>
        <w:rPr>
          <w:rFonts w:ascii="Times New Roman" w:hAnsi="Times New Roman"/>
          <w:sz w:val="28"/>
        </w:rPr>
        <w:t xml:space="preserve"> нормативного правового акта администрации Прокопьевского муниципального округа</w:t>
      </w:r>
      <w:r>
        <w:rPr>
          <w:rFonts w:ascii="Times New Roman" w:hAnsi="Times New Roman"/>
          <w:sz w:val="28"/>
        </w:rPr>
        <w:t xml:space="preserve"> (далее – проект акта):</w:t>
      </w:r>
    </w:p>
    <w:p w14:paraId="04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«</w:t>
      </w:r>
      <w:r>
        <w:rPr>
          <w:rFonts w:ascii="Times New Roman" w:hAnsi="Times New Roman"/>
          <w:b w:val="0"/>
          <w:sz w:val="28"/>
          <w:u w:val="single"/>
        </w:rPr>
        <w:t xml:space="preserve">Об утверждении </w:t>
      </w:r>
      <w:r>
        <w:rPr>
          <w:rFonts w:ascii="Times New Roman" w:hAnsi="Times New Roman"/>
          <w:b w:val="0"/>
          <w:sz w:val="28"/>
          <w:u w:val="single"/>
        </w:rPr>
        <w:t>Р</w:t>
      </w:r>
      <w:r>
        <w:rPr>
          <w:rFonts w:ascii="Times New Roman" w:hAnsi="Times New Roman"/>
          <w:b w:val="0"/>
          <w:sz w:val="28"/>
          <w:u w:val="single"/>
        </w:rPr>
        <w:t xml:space="preserve">егламента </w:t>
      </w:r>
      <w:r>
        <w:rPr>
          <w:rFonts w:ascii="Times New Roman" w:hAnsi="Times New Roman"/>
          <w:b w:val="0"/>
          <w:sz w:val="28"/>
          <w:u w:val="single"/>
        </w:rPr>
        <w:t>с</w:t>
      </w:r>
      <w:r>
        <w:rPr>
          <w:rFonts w:ascii="Times New Roman" w:hAnsi="Times New Roman"/>
          <w:b w:val="0"/>
          <w:sz w:val="28"/>
          <w:u w:val="single"/>
        </w:rPr>
        <w:t>опровождени</w:t>
      </w:r>
      <w:r>
        <w:rPr>
          <w:rFonts w:ascii="Times New Roman" w:hAnsi="Times New Roman"/>
          <w:b w:val="0"/>
          <w:sz w:val="28"/>
          <w:u w:val="single"/>
        </w:rPr>
        <w:t>я</w:t>
      </w:r>
      <w:r>
        <w:rPr>
          <w:rFonts w:ascii="Times New Roman" w:hAnsi="Times New Roman"/>
          <w:b w:val="0"/>
          <w:sz w:val="28"/>
          <w:u w:val="single"/>
        </w:rPr>
        <w:t xml:space="preserve"> инвестиционных проектов по принципу «одного окна» на территории </w:t>
      </w:r>
      <w:r>
        <w:rPr>
          <w:rFonts w:ascii="Times New Roman" w:hAnsi="Times New Roman"/>
          <w:b w:val="0"/>
          <w:sz w:val="28"/>
          <w:u w:val="single"/>
        </w:rPr>
        <w:t>Прокопьевского муниципального округа</w:t>
      </w:r>
      <w:r>
        <w:rPr>
          <w:rFonts w:ascii="Times New Roman" w:hAnsi="Times New Roman"/>
          <w:sz w:val="28"/>
          <w:u w:val="single"/>
        </w:rPr>
        <w:t>»</w:t>
      </w:r>
      <w:r>
        <w:rPr>
          <w:rFonts w:ascii="Times New Roman" w:hAnsi="Times New Roman"/>
          <w:sz w:val="28"/>
          <w:u w:val="single"/>
        </w:rPr>
        <w:t>.</w:t>
      </w:r>
    </w:p>
    <w:p w14:paraId="05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>Адрес размещения уведо</w:t>
      </w:r>
      <w:r>
        <w:rPr>
          <w:rFonts w:ascii="Times New Roman" w:hAnsi="Times New Roman"/>
          <w:sz w:val="28"/>
        </w:rPr>
        <w:t>мления о публичных обсуждениях</w:t>
      </w:r>
      <w:r>
        <w:rPr>
          <w:rFonts w:ascii="Times New Roman" w:hAnsi="Times New Roman"/>
          <w:sz w:val="28"/>
        </w:rPr>
        <w:t xml:space="preserve"> по проекту акта в информационно-телекоммуникационной сети «Интернет»  (полный</w:t>
      </w:r>
      <w:r>
        <w:rPr>
          <w:rFonts w:ascii="Times New Roman" w:hAnsi="Times New Roman"/>
          <w:sz w:val="28"/>
        </w:rPr>
        <w:t xml:space="preserve"> электронный адрес):</w:t>
      </w:r>
    </w:p>
    <w:p w14:paraId="06000000">
      <w:pPr>
        <w:pStyle w:val="Style_1"/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fldChar w:fldCharType="begin"/>
      </w:r>
      <w:r>
        <w:rPr>
          <w:rStyle w:val="Style_2_ch"/>
          <w:rFonts w:ascii="Times New Roman" w:hAnsi="Times New Roman"/>
          <w:sz w:val="28"/>
        </w:rPr>
        <w:instrText>HYPERLINK "https://prokopmo.ru/documents/otsenka-reguliruyushchego-vozdeystviya/razvitie-i-rezultaty-orv.php"</w:instrText>
      </w:r>
      <w:r>
        <w:rPr>
          <w:rStyle w:val="Style_2_ch"/>
          <w:rFonts w:ascii="Times New Roman" w:hAnsi="Times New Roman"/>
          <w:sz w:val="28"/>
        </w:rPr>
        <w:fldChar w:fldCharType="separate"/>
      </w:r>
      <w:r>
        <w:rPr>
          <w:rStyle w:val="Style_2_ch"/>
          <w:rFonts w:ascii="Times New Roman" w:hAnsi="Times New Roman"/>
          <w:sz w:val="28"/>
        </w:rPr>
        <w:t>https://prokopmo.ru/documents/otsenka-reguliruyushchego-vozdeystviya/razvitie-i-rezultaty-orv.php</w:t>
      </w:r>
      <w:r>
        <w:rPr>
          <w:rStyle w:val="Style_2_ch"/>
          <w:rFonts w:ascii="Times New Roman" w:hAnsi="Times New Roman"/>
          <w:sz w:val="28"/>
        </w:rPr>
        <w:fldChar w:fldCharType="end"/>
      </w:r>
    </w:p>
    <w:p w14:paraId="07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Разработчик проекта акта:</w:t>
      </w:r>
    </w:p>
    <w:p w14:paraId="08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Наименование: </w:t>
      </w:r>
      <w:r>
        <w:rPr>
          <w:rFonts w:ascii="Times New Roman" w:hAnsi="Times New Roman"/>
          <w:sz w:val="28"/>
          <w:u w:val="single"/>
        </w:rPr>
        <w:t xml:space="preserve">сектор по развитию предпринимательства и инвестиционной </w:t>
      </w:r>
      <w:r>
        <w:rPr>
          <w:rFonts w:ascii="Times New Roman" w:hAnsi="Times New Roman"/>
          <w:sz w:val="28"/>
          <w:u w:val="single"/>
        </w:rPr>
        <w:t>д</w:t>
      </w:r>
      <w:r>
        <w:rPr>
          <w:rFonts w:ascii="Times New Roman" w:hAnsi="Times New Roman"/>
          <w:sz w:val="28"/>
          <w:u w:val="single"/>
        </w:rPr>
        <w:t>еятельности Прокопьевского муниципального округа</w:t>
      </w:r>
      <w:r>
        <w:rPr>
          <w:rFonts w:ascii="Times New Roman" w:hAnsi="Times New Roman"/>
          <w:sz w:val="28"/>
        </w:rPr>
        <w:t>.</w:t>
      </w:r>
    </w:p>
    <w:p w14:paraId="09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Почтовый адрес: </w:t>
      </w:r>
      <w:r>
        <w:rPr>
          <w:rFonts w:ascii="Times New Roman" w:hAnsi="Times New Roman"/>
          <w:sz w:val="28"/>
          <w:u w:val="single"/>
        </w:rPr>
        <w:t>652640, Прокопьевский муниципальный округ, пгт. Краснобродский, ул. Комсомольская, д. 8, каб. 3.</w:t>
      </w:r>
    </w:p>
    <w:p w14:paraId="0A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Режим работы: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пн-чт. с 8.00 до 17.00, пт. – с 8.00 до 16.00, обед с 12.00-13.00.</w:t>
      </w:r>
    </w:p>
    <w:p w14:paraId="0B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Контакты ответственного лица:</w:t>
      </w:r>
    </w:p>
    <w:p w14:paraId="0C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Ф.И.О.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Кадырова Елена Владимировна.</w:t>
      </w:r>
    </w:p>
    <w:p w14:paraId="0D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Должность: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заведующий </w:t>
      </w:r>
      <w:r>
        <w:rPr>
          <w:rFonts w:ascii="Times New Roman" w:hAnsi="Times New Roman"/>
          <w:sz w:val="28"/>
          <w:u w:val="single"/>
        </w:rPr>
        <w:t xml:space="preserve">сектором по развитию предпринимательства и инвестиционной </w:t>
      </w:r>
      <w:r>
        <w:rPr>
          <w:rFonts w:ascii="Times New Roman" w:hAnsi="Times New Roman"/>
          <w:sz w:val="28"/>
          <w:u w:val="single"/>
        </w:rPr>
        <w:t>д</w:t>
      </w:r>
      <w:r>
        <w:rPr>
          <w:rFonts w:ascii="Times New Roman" w:hAnsi="Times New Roman"/>
          <w:sz w:val="28"/>
          <w:u w:val="single"/>
        </w:rPr>
        <w:t>еятельности Прокопьевского муниципального округа.</w:t>
      </w:r>
    </w:p>
    <w:p w14:paraId="0E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>Телефон: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8 (38452) 7-61-77.</w:t>
      </w:r>
    </w:p>
    <w:p w14:paraId="0F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highlight w:val="white"/>
          <w:u w:val="single"/>
        </w:rPr>
      </w:pPr>
      <w:r>
        <w:rPr>
          <w:rFonts w:ascii="Times New Roman" w:hAnsi="Times New Roman"/>
          <w:sz w:val="28"/>
        </w:rPr>
        <w:t>Адрес электронной почты: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  <w:u w:val="single"/>
        </w:rPr>
        <w:t>optsu@yandex.ru</w:t>
      </w:r>
    </w:p>
    <w:p w14:paraId="10000000">
      <w:pPr>
        <w:spacing w:after="0" w:line="240" w:lineRule="auto"/>
        <w:ind w:firstLine="567" w:left="-567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>5.</w:t>
      </w:r>
      <w:r>
        <w:rPr>
          <w:rFonts w:ascii="Times New Roman" w:hAnsi="Times New Roman"/>
          <w:sz w:val="28"/>
        </w:rPr>
        <w:t>Степень регулирующего воздействия положений, содержащихся в подготовленном проекте нормативного правового акта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  <w:u w:val="single"/>
        </w:rPr>
        <w:t>высокая</w:t>
      </w:r>
      <w:r>
        <w:rPr>
          <w:rFonts w:ascii="Times New Roman" w:hAnsi="Times New Roman"/>
          <w:sz w:val="28"/>
          <w:u w:val="single"/>
        </w:rPr>
        <w:t>.</w:t>
      </w:r>
    </w:p>
    <w:p w14:paraId="11000000">
      <w:pPr>
        <w:pStyle w:val="Style_3"/>
        <w:ind w:firstLine="567" w:left="-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 xml:space="preserve">Описание проблемы, на решение которой направлен предлагаемый </w:t>
      </w:r>
      <w:r>
        <w:rPr>
          <w:rFonts w:ascii="Times New Roman" w:hAnsi="Times New Roman"/>
          <w:sz w:val="28"/>
        </w:rPr>
        <w:t>способ регулирования</w:t>
      </w:r>
      <w:r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  <w:u w:val="single"/>
        </w:rPr>
        <w:t>с</w:t>
      </w:r>
      <w:r>
        <w:rPr>
          <w:rFonts w:ascii="Times New Roman" w:hAnsi="Times New Roman"/>
          <w:b w:val="0"/>
          <w:sz w:val="28"/>
          <w:u w:val="single"/>
        </w:rPr>
        <w:t>опровождени</w:t>
      </w:r>
      <w:r>
        <w:rPr>
          <w:rFonts w:ascii="Times New Roman" w:hAnsi="Times New Roman"/>
          <w:b w:val="0"/>
          <w:sz w:val="28"/>
          <w:u w:val="single"/>
        </w:rPr>
        <w:t>е</w:t>
      </w:r>
      <w:r>
        <w:rPr>
          <w:rFonts w:ascii="Times New Roman" w:hAnsi="Times New Roman"/>
          <w:b w:val="0"/>
          <w:sz w:val="28"/>
          <w:u w:val="single"/>
        </w:rPr>
        <w:t xml:space="preserve"> инвестиционных проектов по принципу «одного окна» на территории </w:t>
      </w:r>
      <w:r>
        <w:rPr>
          <w:rFonts w:ascii="Times New Roman" w:hAnsi="Times New Roman"/>
          <w:b w:val="0"/>
          <w:sz w:val="28"/>
          <w:u w:val="single"/>
        </w:rPr>
        <w:t>Прокопьевского муниципального округа</w:t>
      </w:r>
      <w:r>
        <w:rPr>
          <w:rFonts w:ascii="Times New Roman" w:hAnsi="Times New Roman"/>
          <w:sz w:val="28"/>
          <w:u w:val="single"/>
        </w:rPr>
        <w:t>.</w:t>
      </w:r>
    </w:p>
    <w:p w14:paraId="12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 xml:space="preserve">Цели предлагаемого </w:t>
      </w:r>
      <w:r>
        <w:rPr>
          <w:rFonts w:ascii="Times New Roman" w:hAnsi="Times New Roman"/>
          <w:sz w:val="28"/>
        </w:rPr>
        <w:t>регулирования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  <w:u w:val="single"/>
        </w:rPr>
        <w:t xml:space="preserve">повышение качества </w:t>
      </w:r>
      <w:r>
        <w:rPr>
          <w:rFonts w:ascii="Times New Roman" w:hAnsi="Times New Roman"/>
          <w:sz w:val="28"/>
          <w:u w:val="single"/>
        </w:rPr>
        <w:t xml:space="preserve">и доступности </w:t>
      </w:r>
      <w:r>
        <w:rPr>
          <w:rFonts w:ascii="Times New Roman" w:hAnsi="Times New Roman"/>
          <w:b w:val="0"/>
          <w:sz w:val="28"/>
          <w:u w:val="single"/>
        </w:rPr>
        <w:t>с</w:t>
      </w:r>
      <w:r>
        <w:rPr>
          <w:rFonts w:ascii="Times New Roman" w:hAnsi="Times New Roman"/>
          <w:b w:val="0"/>
          <w:sz w:val="28"/>
          <w:u w:val="single"/>
        </w:rPr>
        <w:t>опровождени</w:t>
      </w:r>
      <w:r>
        <w:rPr>
          <w:rFonts w:ascii="Times New Roman" w:hAnsi="Times New Roman"/>
          <w:b w:val="0"/>
          <w:sz w:val="28"/>
          <w:u w:val="single"/>
        </w:rPr>
        <w:t>я</w:t>
      </w:r>
      <w:r>
        <w:rPr>
          <w:rFonts w:ascii="Times New Roman" w:hAnsi="Times New Roman"/>
          <w:b w:val="0"/>
          <w:sz w:val="28"/>
          <w:u w:val="single"/>
        </w:rPr>
        <w:t xml:space="preserve"> инвестиционных проектов по принципу «одного окна» на территории </w:t>
      </w:r>
      <w:r>
        <w:rPr>
          <w:rFonts w:ascii="Times New Roman" w:hAnsi="Times New Roman"/>
          <w:b w:val="0"/>
          <w:sz w:val="28"/>
          <w:u w:val="single"/>
        </w:rPr>
        <w:t>Прокопьевского муниципального округа</w:t>
      </w:r>
      <w:r>
        <w:rPr>
          <w:rFonts w:ascii="Times New Roman" w:hAnsi="Times New Roman"/>
          <w:sz w:val="28"/>
          <w:u w:val="single"/>
        </w:rPr>
        <w:t>.</w:t>
      </w:r>
    </w:p>
    <w:p w14:paraId="13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Действующие нормативные правовые акты, поручения, другие решения, из которых вытекает необходимость разработки предлагаемого нормативного правового акта в данной области: </w:t>
      </w:r>
      <w:r>
        <w:rPr>
          <w:rFonts w:ascii="Times New Roman" w:hAnsi="Times New Roman"/>
          <w:sz w:val="28"/>
          <w:u w:val="single"/>
        </w:rPr>
        <w:t>распоряжение</w:t>
      </w:r>
      <w:r>
        <w:rPr>
          <w:rFonts w:ascii="Times New Roman" w:hAnsi="Times New Roman"/>
          <w:sz w:val="28"/>
          <w:u w:val="single"/>
        </w:rPr>
        <w:t xml:space="preserve"> Коллегии</w:t>
      </w:r>
      <w:r>
        <w:rPr>
          <w:rFonts w:ascii="Times New Roman" w:hAnsi="Times New Roman"/>
          <w:sz w:val="28"/>
          <w:u w:val="single"/>
        </w:rPr>
        <w:t xml:space="preserve"> Администрации Кемеровской области от 05.02.2019 № 61-р «О внедрении </w:t>
      </w:r>
      <w:r>
        <w:rPr>
          <w:rFonts w:ascii="Times New Roman" w:hAnsi="Times New Roman"/>
          <w:sz w:val="28"/>
          <w:u w:val="single"/>
        </w:rPr>
        <w:t>стандарта инвестиционной деятельности органов местного самоуправления по обеспечению благоприятного инвестиционного климата в муниципальных образованиях Кемеровской области</w:t>
      </w:r>
      <w:r>
        <w:rPr>
          <w:rFonts w:ascii="Times New Roman" w:hAnsi="Times New Roman"/>
          <w:sz w:val="28"/>
          <w:u w:val="single"/>
        </w:rPr>
        <w:t>»</w:t>
      </w:r>
      <w:r>
        <w:rPr>
          <w:rFonts w:ascii="Times New Roman" w:hAnsi="Times New Roman"/>
          <w:sz w:val="28"/>
          <w:u w:val="single"/>
        </w:rPr>
        <w:t>.</w:t>
      </w:r>
    </w:p>
    <w:p w14:paraId="14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Описание предлагаемого регулирования: </w:t>
      </w:r>
      <w:r>
        <w:rPr>
          <w:rFonts w:ascii="Times New Roman" w:hAnsi="Times New Roman"/>
          <w:sz w:val="28"/>
          <w:u w:val="single"/>
        </w:rPr>
        <w:t>не имеется.</w:t>
      </w:r>
    </w:p>
    <w:p w14:paraId="15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8.1. Описание иных возможных способов решения проблемы: </w:t>
      </w:r>
      <w:r>
        <w:rPr>
          <w:rFonts w:ascii="Times New Roman" w:hAnsi="Times New Roman"/>
          <w:sz w:val="28"/>
          <w:u w:val="single"/>
        </w:rPr>
        <w:t>отсутствует.</w:t>
      </w:r>
    </w:p>
    <w:p w14:paraId="16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Основные группы субъектов предпринимательской и инвестиционной деятельности, иные заинтересованные лица, включая органы местного самоуправления, интересы которых будут затронуты предлагаемым правовым регулированием: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 xml:space="preserve">физические и юридические лица, создаваемые на основе договора о совместной деятельности и не имеющие статуса юридического лица объединения юридических лиц, государственные органы, органы местного </w:t>
      </w:r>
      <w:r>
        <w:br/>
      </w:r>
      <w:r>
        <w:br/>
      </w:r>
      <w:r>
        <w:br/>
      </w:r>
      <w:r>
        <w:br/>
      </w:r>
      <w:r>
        <w:rPr>
          <w:rFonts w:ascii="Times New Roman" w:hAnsi="Times New Roman"/>
          <w:sz w:val="28"/>
          <w:u w:val="single"/>
        </w:rPr>
        <w:t>самоуправления, а также иностранные субъекты предпринимательской деятельности (далее - иностранные инвесторы),</w:t>
      </w:r>
      <w:r>
        <w:rPr>
          <w:rFonts w:ascii="Times New Roman" w:hAnsi="Times New Roman"/>
          <w:sz w:val="28"/>
          <w:u w:val="single"/>
        </w:rPr>
        <w:t xml:space="preserve"> зарегистрированные и</w:t>
      </w:r>
      <w:r>
        <w:rPr>
          <w:rFonts w:ascii="Times New Roman" w:hAnsi="Times New Roman"/>
          <w:sz w:val="28"/>
          <w:u w:val="single"/>
        </w:rPr>
        <w:t xml:space="preserve"> </w:t>
      </w:r>
      <w:r>
        <w:rPr>
          <w:rFonts w:ascii="Times New Roman" w:hAnsi="Times New Roman"/>
          <w:sz w:val="28"/>
          <w:u w:val="single"/>
        </w:rPr>
        <w:t>осуществляющие</w:t>
      </w:r>
      <w:r>
        <w:rPr>
          <w:rFonts w:ascii="Times New Roman" w:hAnsi="Times New Roman"/>
          <w:sz w:val="28"/>
          <w:u w:val="single"/>
        </w:rPr>
        <w:t xml:space="preserve"> капитальные вложения на территории Прокопьевского муниципального округа с использованием собственных и (или) привлеченных средств в соответствии с законодательством Российской Федерации</w:t>
      </w:r>
      <w:r>
        <w:rPr>
          <w:rFonts w:ascii="Times New Roman" w:hAnsi="Times New Roman"/>
          <w:sz w:val="28"/>
          <w:u w:val="single"/>
        </w:rPr>
        <w:t xml:space="preserve"> и</w:t>
      </w:r>
      <w:r>
        <w:rPr>
          <w:rFonts w:ascii="Times New Roman" w:hAnsi="Times New Roman"/>
          <w:sz w:val="28"/>
          <w:u w:val="single"/>
        </w:rPr>
        <w:t xml:space="preserve"> законодательством Кемеровской области – Кузбасса</w:t>
      </w:r>
      <w:r>
        <w:rPr>
          <w:rFonts w:ascii="Times New Roman" w:hAnsi="Times New Roman"/>
          <w:sz w:val="28"/>
        </w:rPr>
        <w:t>.</w:t>
      </w:r>
    </w:p>
    <w:p w14:paraId="17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9.1. Оценка количества таких субъектов: </w:t>
      </w:r>
      <w:r>
        <w:rPr>
          <w:rFonts w:ascii="Times New Roman" w:hAnsi="Times New Roman"/>
          <w:sz w:val="28"/>
          <w:u w:val="single"/>
        </w:rPr>
        <w:t>в зависимости от потребности.</w:t>
      </w:r>
    </w:p>
    <w:p w14:paraId="18000000">
      <w:pPr>
        <w:pStyle w:val="Style_3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10. Новые функции, полномочия, обязанности и права органов местного самоуправления или сведения об их изменении, а также порядок их реализации: </w:t>
      </w:r>
      <w:r>
        <w:rPr>
          <w:rFonts w:ascii="Times New Roman" w:hAnsi="Times New Roman"/>
          <w:sz w:val="28"/>
          <w:u w:val="single"/>
        </w:rPr>
        <w:t>проектом акта не предусматривается установление новых полномочий органов местного самоуправления, иных органов или их изменения, а также не вводит ограничения</w:t>
      </w:r>
      <w:r>
        <w:rPr>
          <w:rFonts w:ascii="Times New Roman" w:hAnsi="Times New Roman"/>
          <w:sz w:val="28"/>
        </w:rPr>
        <w:t>.</w:t>
      </w:r>
    </w:p>
    <w:p w14:paraId="19000000">
      <w:pPr>
        <w:pStyle w:val="Style_3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Оценка соответствующих расходов (возможных поступлений) бюджета Прокопьевского муниципального округа: </w:t>
      </w:r>
      <w:r>
        <w:rPr>
          <w:rFonts w:ascii="Times New Roman" w:hAnsi="Times New Roman"/>
          <w:sz w:val="28"/>
          <w:u w:val="single"/>
        </w:rPr>
        <w:t>отсутствует</w:t>
      </w:r>
      <w:r>
        <w:rPr>
          <w:rFonts w:ascii="Times New Roman" w:hAnsi="Times New Roman"/>
          <w:sz w:val="28"/>
          <w:u w:val="single"/>
        </w:rPr>
        <w:t>.</w:t>
      </w:r>
    </w:p>
    <w:p w14:paraId="1A000000">
      <w:pPr>
        <w:pStyle w:val="Style_3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12. </w:t>
      </w:r>
      <w:r>
        <w:rPr>
          <w:rFonts w:ascii="Times New Roman" w:hAnsi="Times New Roman"/>
          <w:sz w:val="28"/>
        </w:rPr>
        <w:t>Новые или изменяющие ранее предусмотренные нормативными правовыми актами Прокопьевского муниципального округа обязанности для субъектов предпринимательской и инвестиционной деятельности, а также устанавливающие или изменяющие ранее установленную ответственность за нарушение нормативных правовых актов Прокопьевского муниципального округа обязанности, запреты и ограничения для субъектов предпринимательской и инвестиционной деятельности, а также поряд</w:t>
      </w:r>
      <w:r>
        <w:rPr>
          <w:rFonts w:ascii="Times New Roman" w:hAnsi="Times New Roman"/>
          <w:sz w:val="28"/>
        </w:rPr>
        <w:t xml:space="preserve">ок организации их исполнения: </w:t>
      </w:r>
      <w:r>
        <w:rPr>
          <w:rFonts w:ascii="Times New Roman" w:hAnsi="Times New Roman"/>
          <w:sz w:val="28"/>
          <w:u w:val="single"/>
        </w:rPr>
        <w:t>отсутствуют</w:t>
      </w:r>
      <w:r>
        <w:rPr>
          <w:rFonts w:ascii="Times New Roman" w:hAnsi="Times New Roman"/>
          <w:sz w:val="28"/>
          <w:u w:val="single"/>
        </w:rPr>
        <w:t>.</w:t>
      </w:r>
    </w:p>
    <w:p w14:paraId="1B000000">
      <w:pPr>
        <w:pStyle w:val="Style_3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13. Оценка расходов и доходов субъектов предпринимательской и инвестиционной деятельности, связанных с необходимостью соблюдения установленных обязанностей либо изменением содержания таких обязанностей, а также связанных с введением или изменением ответственности:</w:t>
      </w:r>
      <w:r>
        <w:rPr>
          <w:rFonts w:ascii="Times New Roman" w:hAnsi="Times New Roman"/>
          <w:sz w:val="28"/>
          <w:u w:val="none"/>
        </w:rPr>
        <w:t xml:space="preserve"> </w:t>
      </w:r>
      <w:r>
        <w:rPr>
          <w:rFonts w:ascii="Times New Roman" w:hAnsi="Times New Roman"/>
          <w:sz w:val="28"/>
          <w:u w:val="single"/>
        </w:rPr>
        <w:t>отсутствует.</w:t>
      </w:r>
    </w:p>
    <w:p w14:paraId="1C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Предполагаемая дата вступления в силу проекта нормативного правового акта, необходимость установления переходных положений (переходного п</w:t>
      </w:r>
      <w:r>
        <w:rPr>
          <w:rFonts w:ascii="Times New Roman" w:hAnsi="Times New Roman"/>
          <w:sz w:val="28"/>
        </w:rPr>
        <w:t xml:space="preserve">ериода), а также  эксперимента: </w:t>
      </w:r>
      <w:r>
        <w:rPr>
          <w:rFonts w:ascii="Times New Roman" w:hAnsi="Times New Roman"/>
          <w:sz w:val="28"/>
          <w:u w:val="single"/>
        </w:rPr>
        <w:t>ноябрь</w:t>
      </w:r>
      <w:r>
        <w:rPr>
          <w:rFonts w:ascii="Times New Roman" w:hAnsi="Times New Roman"/>
          <w:sz w:val="28"/>
          <w:u w:val="single"/>
        </w:rPr>
        <w:t xml:space="preserve"> 2</w:t>
      </w:r>
      <w:r>
        <w:rPr>
          <w:rFonts w:ascii="Times New Roman" w:hAnsi="Times New Roman"/>
          <w:sz w:val="28"/>
          <w:u w:val="single"/>
        </w:rPr>
        <w:t>0</w:t>
      </w:r>
      <w:r>
        <w:rPr>
          <w:rFonts w:ascii="Times New Roman" w:hAnsi="Times New Roman"/>
          <w:sz w:val="28"/>
          <w:u w:val="single"/>
        </w:rPr>
        <w:t>26</w:t>
      </w:r>
      <w:r>
        <w:rPr>
          <w:rFonts w:ascii="Times New Roman" w:hAnsi="Times New Roman"/>
          <w:sz w:val="28"/>
          <w:u w:val="single"/>
        </w:rPr>
        <w:t xml:space="preserve"> года</w:t>
      </w:r>
      <w:r>
        <w:rPr>
          <w:rFonts w:ascii="Times New Roman" w:hAnsi="Times New Roman"/>
          <w:sz w:val="28"/>
          <w:u w:val="single"/>
        </w:rPr>
        <w:t>.</w:t>
      </w:r>
    </w:p>
    <w:p w14:paraId="1D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15. Сведения о </w:t>
      </w:r>
      <w:r>
        <w:rPr>
          <w:rFonts w:ascii="Times New Roman" w:hAnsi="Times New Roman"/>
          <w:sz w:val="28"/>
        </w:rPr>
        <w:t xml:space="preserve">проведении публичных </w:t>
      </w:r>
      <w:r>
        <w:rPr>
          <w:rFonts w:ascii="Times New Roman" w:hAnsi="Times New Roman"/>
          <w:sz w:val="28"/>
        </w:rPr>
        <w:t>обсуждений</w:t>
      </w:r>
      <w:r>
        <w:rPr>
          <w:rFonts w:ascii="Times New Roman" w:hAnsi="Times New Roman"/>
          <w:sz w:val="28"/>
        </w:rPr>
        <w:t>:</w:t>
      </w:r>
    </w:p>
    <w:p w14:paraId="1E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none"/>
        </w:rPr>
        <w:t xml:space="preserve">15.1. Сроки публичного обсуждения: </w:t>
      </w:r>
      <w:r>
        <w:rPr>
          <w:rFonts w:ascii="Times New Roman" w:hAnsi="Times New Roman"/>
          <w:sz w:val="28"/>
          <w:u w:val="single"/>
        </w:rPr>
        <w:t>с</w:t>
      </w:r>
      <w:r>
        <w:rPr>
          <w:rFonts w:ascii="Times New Roman" w:hAnsi="Times New Roman"/>
          <w:sz w:val="28"/>
          <w:u w:val="single"/>
        </w:rPr>
        <w:t xml:space="preserve"> 06.10</w:t>
      </w:r>
      <w:r>
        <w:rPr>
          <w:rFonts w:ascii="Times New Roman" w:hAnsi="Times New Roman"/>
          <w:sz w:val="28"/>
          <w:u w:val="single"/>
        </w:rPr>
        <w:t>.2026</w:t>
      </w:r>
      <w:r>
        <w:rPr>
          <w:rFonts w:ascii="Times New Roman" w:hAnsi="Times New Roman"/>
          <w:sz w:val="28"/>
          <w:u w:val="single"/>
        </w:rPr>
        <w:t xml:space="preserve"> по 02.11</w:t>
      </w:r>
      <w:r>
        <w:rPr>
          <w:rFonts w:ascii="Times New Roman" w:hAnsi="Times New Roman"/>
          <w:sz w:val="28"/>
          <w:u w:val="single"/>
        </w:rPr>
        <w:t>.2026</w:t>
      </w:r>
    </w:p>
    <w:p w14:paraId="1F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none"/>
        </w:rPr>
        <w:t xml:space="preserve">15.2. Лица, организации, представившие предложения: </w:t>
      </w:r>
      <w:r>
        <w:rPr>
          <w:rFonts w:ascii="Times New Roman" w:hAnsi="Times New Roman"/>
          <w:sz w:val="28"/>
          <w:u w:val="single"/>
        </w:rPr>
        <w:t>отсутствуют.</w:t>
      </w:r>
    </w:p>
    <w:p w14:paraId="20000000">
      <w:pPr>
        <w:spacing w:after="0" w:line="240" w:lineRule="auto"/>
        <w:ind w:firstLine="567" w:left="-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Иные сведения, которые, по мнению органа-разработчика, позволяют оценить обоснованность предлагаемого регулирования: </w:t>
      </w:r>
      <w:r>
        <w:rPr>
          <w:rFonts w:ascii="Times New Roman" w:hAnsi="Times New Roman"/>
          <w:sz w:val="28"/>
          <w:u w:val="single"/>
        </w:rPr>
        <w:t>не имеются</w:t>
      </w:r>
      <w:r>
        <w:rPr>
          <w:rFonts w:ascii="Times New Roman" w:hAnsi="Times New Roman"/>
          <w:sz w:val="28"/>
        </w:rPr>
        <w:t>.</w:t>
      </w:r>
    </w:p>
    <w:sectPr>
      <w:pgSz w:h="16838" w:orient="portrait" w:w="11906"/>
      <w:pgMar w:bottom="1106" w:footer="708" w:gutter="0" w:header="708" w:left="1701" w:right="850" w:top="425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4" w:type="paragraph">
    <w:name w:val="toc 2"/>
    <w:next w:val="Style_1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1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1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1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3" w:type="paragraph">
    <w:name w:val="ConsPlusNonformat"/>
    <w:link w:val="Style_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_ch" w:type="character">
    <w:name w:val="ConsPlusNonformat"/>
    <w:link w:val="Style_3"/>
    <w:rPr>
      <w:rFonts w:ascii="Courier New" w:hAnsi="Courier New"/>
      <w:sz w:val="20"/>
    </w:rPr>
  </w:style>
  <w:style w:styleId="Style_12" w:type="paragraph">
    <w:name w:val="heading 1"/>
    <w:next w:val="Style_1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2" w:type="paragraph">
    <w:name w:val="Hyperlink"/>
    <w:basedOn w:val="Style_13"/>
    <w:link w:val="Style_2_ch"/>
    <w:rPr>
      <w:color w:themeColor="hyperlink" w:val="0000FF"/>
      <w:u w:val="single"/>
    </w:rPr>
  </w:style>
  <w:style w:styleId="Style_2_ch" w:type="character">
    <w:name w:val="Hyperlink"/>
    <w:basedOn w:val="Style_13_ch"/>
    <w:link w:val="Style_2"/>
    <w:rPr>
      <w:color w:themeColor="hyperlink"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8" w:type="paragraph">
    <w:name w:val="toc 8"/>
    <w:next w:val="Style_1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MyOffice-CoreFramework-Linux/33-1224.848.9400.852.1@a485da99dcc738e8c7d147737040082c6b3f9fe8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2026-10-06T02:15:29Z</dcterms:modified>
</cp:coreProperties>
</file>