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Сводный отчет о проведении оценки регулирующего воздействия </w:t>
      </w:r>
    </w:p>
    <w:p w14:paraId="02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3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</w:t>
      </w:r>
      <w:r>
        <w:rPr>
          <w:rFonts w:ascii="Times New Roman" w:hAnsi="Times New Roman"/>
          <w:sz w:val="28"/>
        </w:rPr>
        <w:t>Наименование п</w:t>
      </w:r>
      <w:r>
        <w:rPr>
          <w:rFonts w:ascii="Times New Roman" w:hAnsi="Times New Roman"/>
          <w:sz w:val="28"/>
        </w:rPr>
        <w:t>роект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 нормативного правового акта администрации Прокопьевского муниципального округа</w:t>
      </w:r>
      <w:r>
        <w:rPr>
          <w:rFonts w:ascii="Times New Roman" w:hAnsi="Times New Roman"/>
          <w:sz w:val="28"/>
        </w:rPr>
        <w:t xml:space="preserve"> (далее – проек</w:t>
      </w:r>
      <w:r>
        <w:rPr>
          <w:rFonts w:ascii="Times New Roman" w:hAnsi="Times New Roman"/>
          <w:sz w:val="28"/>
        </w:rPr>
        <w:t>т</w:t>
      </w:r>
      <w:r>
        <w:rPr>
          <w:rFonts w:ascii="Times New Roman" w:hAnsi="Times New Roman"/>
          <w:sz w:val="28"/>
        </w:rPr>
        <w:t xml:space="preserve"> акта):</w:t>
      </w:r>
      <w:r>
        <w:rPr>
          <w:rFonts w:ascii="Times New Roman" w:hAnsi="Times New Roman"/>
          <w:sz w:val="28"/>
        </w:rPr>
        <w:t xml:space="preserve"> </w:t>
      </w:r>
    </w:p>
    <w:p w14:paraId="04000000">
      <w:pPr>
        <w:spacing w:after="0" w:line="240" w:lineRule="auto"/>
        <w:ind w:firstLine="567" w:left="-567" w:right="-2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«Об утверждении порядка «Предоставление гранта субъектам малого и среднего предпринимательства, на развитие собственного бизнеса</w:t>
      </w:r>
      <w:r>
        <w:rPr>
          <w:rFonts w:ascii="Times New Roman" w:hAnsi="Times New Roman"/>
          <w:sz w:val="28"/>
          <w:u w:val="single"/>
        </w:rPr>
        <w:t>»</w:t>
      </w:r>
      <w:r>
        <w:rPr>
          <w:rFonts w:ascii="Times New Roman" w:hAnsi="Times New Roman"/>
          <w:sz w:val="28"/>
          <w:u w:val="single"/>
        </w:rPr>
        <w:t>.</w:t>
      </w:r>
    </w:p>
    <w:p w14:paraId="05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2. </w:t>
      </w:r>
      <w:r>
        <w:rPr>
          <w:rFonts w:ascii="Times New Roman" w:hAnsi="Times New Roman"/>
          <w:sz w:val="28"/>
        </w:rPr>
        <w:t>Адрес размещения уведо</w:t>
      </w:r>
      <w:r>
        <w:rPr>
          <w:rFonts w:ascii="Times New Roman" w:hAnsi="Times New Roman"/>
          <w:sz w:val="28"/>
        </w:rPr>
        <w:t>мления о публичных обсуждениях</w:t>
      </w:r>
      <w:r>
        <w:rPr>
          <w:rFonts w:ascii="Times New Roman" w:hAnsi="Times New Roman"/>
          <w:sz w:val="28"/>
        </w:rPr>
        <w:t xml:space="preserve"> по проекту акта в информационно-телекоммуникационной сети «Интернет»  (полный</w:t>
      </w:r>
      <w:r>
        <w:rPr>
          <w:rFonts w:ascii="Times New Roman" w:hAnsi="Times New Roman"/>
          <w:sz w:val="28"/>
        </w:rPr>
        <w:t xml:space="preserve"> электронный адрес):</w:t>
      </w:r>
    </w:p>
    <w:p w14:paraId="06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fldChar w:fldCharType="begin"/>
      </w:r>
      <w:r>
        <w:rPr>
          <w:rStyle w:val="Style_1_ch"/>
          <w:rFonts w:ascii="Times New Roman" w:hAnsi="Times New Roman"/>
          <w:sz w:val="28"/>
        </w:rPr>
        <w:instrText>HYPERLINK "https://prokopmo.ru/documents/otsenka-reguliruyushchego-vozdeystviya/razvitie-i-rezultaty-orv.php"</w:instrText>
      </w:r>
      <w:r>
        <w:rPr>
          <w:rStyle w:val="Style_1_ch"/>
          <w:rFonts w:ascii="Times New Roman" w:hAnsi="Times New Roman"/>
          <w:sz w:val="28"/>
        </w:rPr>
        <w:fldChar w:fldCharType="separate"/>
      </w:r>
      <w:r>
        <w:rPr>
          <w:rStyle w:val="Style_1_ch"/>
          <w:rFonts w:ascii="Times New Roman" w:hAnsi="Times New Roman"/>
          <w:sz w:val="28"/>
        </w:rPr>
        <w:t>https://prokopmo.ru/documents/otsenka-reguliruyushchego-vozdeystviya/razvitie-i-rezultaty-orv.php</w:t>
      </w:r>
      <w:r>
        <w:rPr>
          <w:rStyle w:val="Style_1_ch"/>
          <w:rFonts w:ascii="Times New Roman" w:hAnsi="Times New Roman"/>
          <w:sz w:val="28"/>
        </w:rPr>
        <w:fldChar w:fldCharType="end"/>
      </w:r>
    </w:p>
    <w:p w14:paraId="07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Разработчик проекта акта:</w:t>
      </w:r>
    </w:p>
    <w:p w14:paraId="08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Наименование: </w:t>
      </w:r>
      <w:r>
        <w:rPr>
          <w:rFonts w:ascii="Times New Roman" w:hAnsi="Times New Roman"/>
          <w:sz w:val="28"/>
          <w:u w:val="single"/>
        </w:rPr>
        <w:t>с</w:t>
      </w:r>
      <w:r>
        <w:rPr>
          <w:rFonts w:ascii="Times New Roman" w:hAnsi="Times New Roman"/>
          <w:sz w:val="28"/>
          <w:u w:val="single"/>
        </w:rPr>
        <w:t>ектор по развитию предпринимательства и инвестиционной деятельности</w:t>
      </w:r>
      <w:r>
        <w:rPr>
          <w:rFonts w:ascii="Times New Roman" w:hAnsi="Times New Roman"/>
          <w:sz w:val="28"/>
          <w:u w:val="single"/>
        </w:rPr>
        <w:t>:</w:t>
      </w:r>
    </w:p>
    <w:p w14:paraId="09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Почтовый адрес: </w:t>
      </w:r>
      <w:r>
        <w:rPr>
          <w:rFonts w:ascii="Times New Roman" w:hAnsi="Times New Roman"/>
          <w:sz w:val="28"/>
          <w:u w:val="single"/>
        </w:rPr>
        <w:t>652640</w:t>
      </w:r>
      <w:r>
        <w:rPr>
          <w:rFonts w:ascii="Times New Roman" w:hAnsi="Times New Roman"/>
          <w:sz w:val="28"/>
          <w:u w:val="single"/>
        </w:rPr>
        <w:t xml:space="preserve">, </w:t>
      </w:r>
      <w:r>
        <w:rPr>
          <w:rFonts w:ascii="Times New Roman" w:hAnsi="Times New Roman"/>
          <w:sz w:val="28"/>
          <w:u w:val="single"/>
        </w:rPr>
        <w:t>пгт</w:t>
      </w:r>
      <w:r>
        <w:rPr>
          <w:rFonts w:ascii="Times New Roman" w:hAnsi="Times New Roman"/>
          <w:sz w:val="28"/>
          <w:u w:val="single"/>
        </w:rPr>
        <w:t xml:space="preserve">. </w:t>
      </w:r>
      <w:r>
        <w:rPr>
          <w:rFonts w:ascii="Times New Roman" w:hAnsi="Times New Roman"/>
          <w:sz w:val="28"/>
          <w:u w:val="single"/>
        </w:rPr>
        <w:t>Краснобродский, ул. Комсомольская, 8</w:t>
      </w:r>
    </w:p>
    <w:p w14:paraId="0A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Режим работы:</w:t>
      </w:r>
      <w:r>
        <w:rPr>
          <w:rFonts w:ascii="Times New Roman" w:hAnsi="Times New Roman"/>
          <w:sz w:val="28"/>
          <w:u w:val="single"/>
        </w:rPr>
        <w:t xml:space="preserve"> пн-чт. с 8.00 до 17.00, пт. – с 8.00 до 16.00, обед с 12.00-13.00</w:t>
      </w:r>
    </w:p>
    <w:p w14:paraId="0B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Контакты ответственного лица:</w:t>
      </w:r>
    </w:p>
    <w:p w14:paraId="0C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Ф.И.О.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>Кадырова Елена Владимировна</w:t>
      </w:r>
    </w:p>
    <w:p w14:paraId="0D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Должность: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u w:val="single"/>
        </w:rPr>
        <w:t>заведующий сектором по развитию предпринимательства и инвестиционной деятельности администрации</w:t>
      </w:r>
      <w:r>
        <w:rPr>
          <w:rFonts w:ascii="Times New Roman" w:hAnsi="Times New Roman"/>
          <w:sz w:val="28"/>
          <w:u w:val="single"/>
        </w:rPr>
        <w:t xml:space="preserve"> Прокопьевского муниципального округа</w:t>
      </w:r>
    </w:p>
    <w:p w14:paraId="0E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Телефон:</w:t>
      </w:r>
      <w:r>
        <w:rPr>
          <w:rFonts w:ascii="Times New Roman" w:hAnsi="Times New Roman"/>
          <w:sz w:val="28"/>
          <w:u w:val="single"/>
        </w:rPr>
        <w:t xml:space="preserve"> 8-38452-7-61-77</w:t>
      </w:r>
    </w:p>
    <w:p w14:paraId="0F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highlight w:val="white"/>
          <w:u w:val="single"/>
        </w:rPr>
      </w:pPr>
      <w:r>
        <w:rPr>
          <w:rFonts w:ascii="Times New Roman" w:hAnsi="Times New Roman"/>
          <w:sz w:val="28"/>
        </w:rPr>
        <w:t>Адрес электронной почты: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highlight w:val="white"/>
          <w:u w:val="single"/>
        </w:rPr>
        <w:t>optsu@yandex.ru</w:t>
      </w:r>
      <w:r>
        <w:rPr>
          <w:rFonts w:ascii="Times New Roman" w:hAnsi="Times New Roman"/>
          <w:sz w:val="28"/>
          <w:highlight w:val="white"/>
          <w:u w:val="single"/>
        </w:rPr>
        <w:t>.</w:t>
      </w:r>
    </w:p>
    <w:p w14:paraId="10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</w:t>
      </w:r>
      <w:r>
        <w:rPr>
          <w:rFonts w:ascii="Times New Roman" w:hAnsi="Times New Roman"/>
          <w:sz w:val="28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>
        <w:rPr>
          <w:rFonts w:ascii="Times New Roman" w:hAnsi="Times New Roman"/>
          <w:sz w:val="28"/>
          <w:u w:val="single"/>
        </w:rPr>
        <w:t>высокая</w:t>
      </w:r>
    </w:p>
    <w:p w14:paraId="11000000">
      <w:pPr>
        <w:pStyle w:val="Style_2"/>
        <w:ind w:firstLine="567" w:left="-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6. </w:t>
      </w:r>
      <w:r>
        <w:rPr>
          <w:rFonts w:ascii="Times New Roman" w:hAnsi="Times New Roman"/>
          <w:sz w:val="28"/>
        </w:rPr>
        <w:t xml:space="preserve">Описание проблемы, на решение которой направлен предлагаемый </w:t>
      </w:r>
      <w:r>
        <w:rPr>
          <w:rFonts w:ascii="Times New Roman" w:hAnsi="Times New Roman"/>
          <w:sz w:val="28"/>
        </w:rPr>
        <w:t>способ регулирования</w:t>
      </w:r>
      <w:r>
        <w:rPr>
          <w:rFonts w:ascii="Times New Roman" w:hAnsi="Times New Roman"/>
          <w:sz w:val="28"/>
        </w:rPr>
        <w:t>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u w:val="single"/>
        </w:rPr>
        <w:t>определени</w:t>
      </w:r>
      <w:r>
        <w:rPr>
          <w:rFonts w:ascii="Times New Roman" w:hAnsi="Times New Roman"/>
          <w:sz w:val="28"/>
          <w:u w:val="single"/>
        </w:rPr>
        <w:t>е</w:t>
      </w:r>
      <w:r>
        <w:rPr>
          <w:rFonts w:ascii="Times New Roman" w:hAnsi="Times New Roman"/>
          <w:sz w:val="28"/>
          <w:u w:val="single"/>
        </w:rPr>
        <w:t xml:space="preserve"> порядка п</w:t>
      </w:r>
      <w:r>
        <w:rPr>
          <w:rFonts w:ascii="Times New Roman" w:hAnsi="Times New Roman"/>
          <w:sz w:val="28"/>
          <w:u w:val="single"/>
        </w:rPr>
        <w:t>редоставления гранта субъектам малого и среднего предпринимательства, на развитие собственного бизнеса</w:t>
      </w:r>
      <w:r>
        <w:rPr>
          <w:rFonts w:ascii="Times New Roman" w:hAnsi="Times New Roman"/>
          <w:sz w:val="28"/>
          <w:u w:val="single"/>
        </w:rPr>
        <w:t>.</w:t>
      </w:r>
    </w:p>
    <w:p w14:paraId="12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 </w:t>
      </w:r>
      <w:r>
        <w:rPr>
          <w:rFonts w:ascii="Times New Roman" w:hAnsi="Times New Roman"/>
          <w:sz w:val="28"/>
        </w:rPr>
        <w:t xml:space="preserve">Цели предлагаемого </w:t>
      </w:r>
      <w:r>
        <w:rPr>
          <w:rFonts w:ascii="Times New Roman" w:hAnsi="Times New Roman"/>
          <w:sz w:val="28"/>
        </w:rPr>
        <w:t>регулирования</w:t>
      </w:r>
      <w:r>
        <w:rPr>
          <w:rFonts w:ascii="Times New Roman" w:hAnsi="Times New Roman"/>
          <w:sz w:val="28"/>
        </w:rPr>
        <w:t>: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п</w:t>
      </w:r>
      <w:r>
        <w:rPr>
          <w:rFonts w:ascii="Times New Roman" w:hAnsi="Times New Roman"/>
          <w:sz w:val="28"/>
          <w:u w:val="single"/>
        </w:rPr>
        <w:t>редоставление гранта субъектам малого и среднего предпринимательства, на развитие собственного бизнеса</w:t>
      </w:r>
      <w:r>
        <w:rPr>
          <w:rFonts w:ascii="Times New Roman" w:hAnsi="Times New Roman"/>
          <w:sz w:val="28"/>
          <w:u w:val="single"/>
        </w:rPr>
        <w:t>.</w:t>
      </w:r>
      <w:r>
        <w:rPr>
          <w:rFonts w:ascii="Times New Roman" w:hAnsi="Times New Roman"/>
          <w:sz w:val="28"/>
        </w:rPr>
        <w:t xml:space="preserve"> </w:t>
      </w:r>
    </w:p>
    <w:p w14:paraId="13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u w:val="single"/>
        </w:rPr>
        <w:t>Федеральный</w:t>
      </w:r>
      <w:r>
        <w:rPr>
          <w:rFonts w:ascii="Times New Roman" w:hAnsi="Times New Roman"/>
          <w:sz w:val="28"/>
          <w:u w:val="single"/>
        </w:rPr>
        <w:t xml:space="preserve"> закон от 06.10.2003 № 131-ФЗ </w:t>
      </w:r>
      <w:r>
        <w:rPr>
          <w:rFonts w:ascii="Times New Roman" w:hAnsi="Times New Roman"/>
          <w:sz w:val="28"/>
          <w:u w:val="single"/>
        </w:rPr>
        <w:t>«</w:t>
      </w:r>
      <w:r>
        <w:rPr>
          <w:rFonts w:ascii="Times New Roman" w:hAnsi="Times New Roman"/>
          <w:sz w:val="28"/>
          <w:u w:val="single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/>
          <w:sz w:val="28"/>
          <w:u w:val="single"/>
        </w:rPr>
        <w:t>»</w:t>
      </w:r>
      <w:r>
        <w:rPr>
          <w:rFonts w:ascii="Times New Roman" w:hAnsi="Times New Roman"/>
          <w:sz w:val="28"/>
          <w:u w:val="single"/>
        </w:rPr>
        <w:t xml:space="preserve">, </w:t>
      </w:r>
      <w:r>
        <w:rPr>
          <w:rFonts w:ascii="Times New Roman" w:hAnsi="Times New Roman"/>
          <w:sz w:val="28"/>
          <w:u w:val="single"/>
        </w:rPr>
        <w:t xml:space="preserve">Федеральный закон </w:t>
      </w:r>
      <w:r>
        <w:rPr>
          <w:rFonts w:ascii="Times New Roman" w:hAnsi="Times New Roman"/>
          <w:sz w:val="28"/>
          <w:u w:val="single"/>
        </w:rPr>
        <w:t>о</w:t>
      </w:r>
      <w:r>
        <w:rPr>
          <w:rFonts w:ascii="Times New Roman" w:hAnsi="Times New Roman"/>
          <w:sz w:val="28"/>
          <w:u w:val="single"/>
        </w:rPr>
        <w:t xml:space="preserve">т 24.07.2007 № 209-ФЗ «О развитии малого и среднего предпринимательства в Российской Федерации», Постановление Правительства Российской Федерации от </w:t>
      </w:r>
      <w:r>
        <w:rPr>
          <w:rFonts w:ascii="Times New Roman" w:hAnsi="Times New Roman"/>
          <w:sz w:val="28"/>
          <w:u w:val="single"/>
        </w:rPr>
        <w:t>25</w:t>
      </w:r>
      <w:r>
        <w:rPr>
          <w:rFonts w:ascii="Times New Roman" w:hAnsi="Times New Roman"/>
          <w:sz w:val="28"/>
          <w:u w:val="single"/>
        </w:rPr>
        <w:t>.</w:t>
      </w:r>
      <w:r>
        <w:rPr>
          <w:rFonts w:ascii="Times New Roman" w:hAnsi="Times New Roman"/>
          <w:sz w:val="28"/>
          <w:u w:val="single"/>
        </w:rPr>
        <w:t>10</w:t>
      </w:r>
      <w:r>
        <w:rPr>
          <w:rFonts w:ascii="Times New Roman" w:hAnsi="Times New Roman"/>
          <w:sz w:val="28"/>
          <w:u w:val="single"/>
        </w:rPr>
        <w:t>.202</w:t>
      </w:r>
      <w:r>
        <w:rPr>
          <w:rFonts w:ascii="Times New Roman" w:hAnsi="Times New Roman"/>
          <w:sz w:val="28"/>
          <w:u w:val="single"/>
        </w:rPr>
        <w:t>3</w:t>
      </w:r>
      <w:r>
        <w:rPr>
          <w:rFonts w:ascii="Times New Roman" w:hAnsi="Times New Roman"/>
          <w:sz w:val="28"/>
          <w:u w:val="single"/>
        </w:rPr>
        <w:t xml:space="preserve"> № 1</w:t>
      </w:r>
      <w:r>
        <w:rPr>
          <w:rFonts w:ascii="Times New Roman" w:hAnsi="Times New Roman"/>
          <w:sz w:val="28"/>
          <w:u w:val="single"/>
        </w:rPr>
        <w:t>782</w:t>
      </w:r>
      <w:r>
        <w:rPr>
          <w:rFonts w:ascii="Times New Roman" w:hAnsi="Times New Roman"/>
          <w:sz w:val="28"/>
          <w:u w:val="single"/>
        </w:rPr>
        <w:t xml:space="preserve"> «Об</w:t>
      </w:r>
      <w:r>
        <w:rPr>
          <w:rFonts w:ascii="Times New Roman" w:hAnsi="Times New Roman"/>
          <w:sz w:val="28"/>
          <w:u w:val="single"/>
        </w:rPr>
        <w:t xml:space="preserve"> утверждении</w:t>
      </w:r>
      <w:r>
        <w:rPr>
          <w:rFonts w:ascii="Times New Roman" w:hAnsi="Times New Roman"/>
          <w:sz w:val="28"/>
          <w:u w:val="single"/>
        </w:rPr>
        <w:t xml:space="preserve"> общих требовани</w:t>
      </w:r>
      <w:r>
        <w:rPr>
          <w:rFonts w:ascii="Times New Roman" w:hAnsi="Times New Roman"/>
          <w:sz w:val="28"/>
          <w:u w:val="single"/>
        </w:rPr>
        <w:t>й</w:t>
      </w:r>
      <w:r>
        <w:rPr>
          <w:rFonts w:ascii="Times New Roman" w:hAnsi="Times New Roman"/>
          <w:sz w:val="28"/>
          <w:u w:val="single"/>
        </w:rPr>
        <w:t xml:space="preserve"> к нормативным правовым актам, муниципальным правовым актам, регулирующим предоставление</w:t>
      </w:r>
      <w:r>
        <w:rPr>
          <w:rFonts w:ascii="Times New Roman" w:hAnsi="Times New Roman"/>
          <w:sz w:val="28"/>
          <w:u w:val="single"/>
        </w:rPr>
        <w:t xml:space="preserve"> из бюджетов субъектов Российской Федерации, местных бюджетов</w:t>
      </w:r>
      <w:r>
        <w:rPr>
          <w:rFonts w:ascii="Times New Roman" w:hAnsi="Times New Roman"/>
          <w:sz w:val="28"/>
          <w:u w:val="single"/>
        </w:rPr>
        <w:t xml:space="preserve"> субсидий, в том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>числе грантов в форме субсидий, юридическим лицам, индивидуальным предпринимателям, а также физическим лицам - производителям товаров, работ, услуг и</w:t>
      </w:r>
      <w:r>
        <w:rPr>
          <w:rFonts w:ascii="Times New Roman" w:hAnsi="Times New Roman"/>
          <w:sz w:val="28"/>
          <w:u w:val="single"/>
        </w:rPr>
        <w:t xml:space="preserve"> проведение отборов получателей указанных субсидий, в том числе грантов в форме субсидий»</w:t>
      </w:r>
      <w:r>
        <w:rPr>
          <w:rFonts w:ascii="Times New Roman" w:hAnsi="Times New Roman"/>
          <w:sz w:val="28"/>
          <w:u w:val="single"/>
        </w:rPr>
        <w:t>.</w:t>
      </w:r>
    </w:p>
    <w:p w14:paraId="14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 Описание предлагаемого регулирования:</w:t>
      </w:r>
      <w:r>
        <w:rPr>
          <w:rFonts w:ascii="Times New Roman" w:hAnsi="Times New Roman"/>
          <w:sz w:val="28"/>
        </w:rPr>
        <w:t xml:space="preserve"> не имеется.</w:t>
      </w:r>
    </w:p>
    <w:p w14:paraId="15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9. Основные группы субъектов предпринимательской и инвестиционной деятельности, иные заинтересованные лица, включая </w:t>
      </w:r>
      <w:r>
        <w:rPr>
          <w:rFonts w:ascii="Times New Roman" w:hAnsi="Times New Roman"/>
          <w:sz w:val="28"/>
        </w:rPr>
        <w:t>органы местного с</w:t>
      </w:r>
      <w:r>
        <w:rPr>
          <w:rFonts w:ascii="Times New Roman" w:hAnsi="Times New Roman"/>
          <w:sz w:val="28"/>
        </w:rPr>
        <w:t>амоуправления, интересы которых</w:t>
      </w:r>
      <w:r>
        <w:rPr>
          <w:rFonts w:ascii="Times New Roman" w:hAnsi="Times New Roman"/>
          <w:sz w:val="28"/>
        </w:rPr>
        <w:t xml:space="preserve"> будут затронуты предлагаемым правовым регулированием: </w:t>
      </w:r>
      <w:r>
        <w:rPr>
          <w:rFonts w:ascii="Times New Roman" w:hAnsi="Times New Roman"/>
          <w:sz w:val="28"/>
          <w:u w:val="single"/>
        </w:rPr>
        <w:t>субъекты малого и среднего предпринимательства</w:t>
      </w:r>
      <w:r>
        <w:rPr>
          <w:rFonts w:ascii="Times New Roman" w:hAnsi="Times New Roman"/>
          <w:sz w:val="28"/>
        </w:rPr>
        <w:t>.</w:t>
      </w:r>
    </w:p>
    <w:p w14:paraId="16000000">
      <w:pPr>
        <w:pStyle w:val="Style_2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10. Новые функции, полномочия, обязанности и права органов местного самоуправления или сведения об их изменении, а также порядок их реализации: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u w:val="single"/>
        </w:rPr>
        <w:t>проектом акта не предусматривается установление новых полномочий органов местного самоуправления, иных органов или их изменения, а также не вводит ограничения</w:t>
      </w:r>
      <w:r>
        <w:rPr>
          <w:rFonts w:ascii="Times New Roman" w:hAnsi="Times New Roman"/>
          <w:sz w:val="28"/>
        </w:rPr>
        <w:t>.</w:t>
      </w:r>
    </w:p>
    <w:p w14:paraId="17000000">
      <w:pPr>
        <w:pStyle w:val="Style_2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11. Оценка соответствующих расходов (возможных поступлений) бюджета Прокопьевского муниципального округа: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u w:val="single"/>
        </w:rPr>
        <w:t>отсутствует</w:t>
      </w:r>
      <w:r>
        <w:rPr>
          <w:rFonts w:ascii="Times New Roman" w:hAnsi="Times New Roman"/>
          <w:sz w:val="28"/>
          <w:u w:val="single"/>
        </w:rPr>
        <w:t>.</w:t>
      </w:r>
      <w:r>
        <w:rPr>
          <w:rFonts w:ascii="Times New Roman" w:hAnsi="Times New Roman"/>
          <w:sz w:val="28"/>
        </w:rPr>
        <w:t xml:space="preserve"> </w:t>
      </w:r>
    </w:p>
    <w:p w14:paraId="18000000">
      <w:pPr>
        <w:pStyle w:val="Style_2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12. </w:t>
      </w:r>
      <w:r>
        <w:rPr>
          <w:rFonts w:ascii="Times New Roman" w:hAnsi="Times New Roman"/>
          <w:sz w:val="28"/>
        </w:rPr>
        <w:t>Новые или изменяющие ранее предусмотренные нормативными правовыми актами Прокопьевского муниципального округа обязанности для субъектов предпринимательской и инвестиционной деятельности, а также устанавливающие или изменяющие ранее установленную ответственность за нарушение нормативных правовых актов Прокопьевского муниципального округа обязанности, запреты и ограничения для субъектов предпринимательской и инвестиционной деятельности, а также поряд</w:t>
      </w:r>
      <w:r>
        <w:rPr>
          <w:rFonts w:ascii="Times New Roman" w:hAnsi="Times New Roman"/>
          <w:sz w:val="28"/>
        </w:rPr>
        <w:t xml:space="preserve">ок организации их исполнения: </w:t>
      </w:r>
      <w:r>
        <w:rPr>
          <w:rFonts w:ascii="Times New Roman" w:hAnsi="Times New Roman"/>
          <w:sz w:val="28"/>
          <w:u w:val="single"/>
        </w:rPr>
        <w:t>отсутствуют</w:t>
      </w:r>
      <w:r>
        <w:rPr>
          <w:rFonts w:ascii="Times New Roman" w:hAnsi="Times New Roman"/>
          <w:sz w:val="28"/>
          <w:u w:val="single"/>
        </w:rPr>
        <w:t>.</w:t>
      </w:r>
    </w:p>
    <w:p w14:paraId="19000000">
      <w:pPr>
        <w:pStyle w:val="Style_2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13. Оценка расходов и доходов субъектов предпринимательской и инвестиционной деятельности, связанных с необходимостью соблюдения установленных обязанностей либо изменением содержания таких обязанностей, а также связанных с введением или изменением ответственности:</w:t>
      </w:r>
      <w:r>
        <w:rPr>
          <w:rFonts w:ascii="Times New Roman" w:hAnsi="Times New Roman"/>
          <w:sz w:val="28"/>
          <w:u w:val="single"/>
        </w:rPr>
        <w:t xml:space="preserve"> отсутствует</w:t>
      </w:r>
      <w:r>
        <w:rPr>
          <w:rFonts w:ascii="Times New Roman" w:hAnsi="Times New Roman"/>
          <w:sz w:val="28"/>
          <w:u w:val="single"/>
        </w:rPr>
        <w:t>.</w:t>
      </w:r>
    </w:p>
    <w:p w14:paraId="1A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14. Предполагаемая дата вступления в силу проекта нормативного правового акта, необходимость установления переходных положений (переходного п</w:t>
      </w:r>
      <w:r>
        <w:rPr>
          <w:rFonts w:ascii="Times New Roman" w:hAnsi="Times New Roman"/>
          <w:sz w:val="28"/>
        </w:rPr>
        <w:t xml:space="preserve">ериода), а также  эксперимента: </w:t>
      </w:r>
      <w:r>
        <w:rPr>
          <w:rFonts w:ascii="Times New Roman" w:hAnsi="Times New Roman"/>
          <w:sz w:val="28"/>
          <w:u w:val="single"/>
        </w:rPr>
        <w:t>декабрь</w:t>
      </w:r>
      <w:r>
        <w:rPr>
          <w:rFonts w:ascii="Times New Roman" w:hAnsi="Times New Roman"/>
          <w:sz w:val="28"/>
          <w:u w:val="single"/>
        </w:rPr>
        <w:t xml:space="preserve"> 202</w:t>
      </w:r>
      <w:r>
        <w:rPr>
          <w:rFonts w:ascii="Times New Roman" w:hAnsi="Times New Roman"/>
          <w:sz w:val="28"/>
          <w:u w:val="single"/>
        </w:rPr>
        <w:t>4</w:t>
      </w:r>
      <w:r>
        <w:rPr>
          <w:rFonts w:ascii="Times New Roman" w:hAnsi="Times New Roman"/>
          <w:sz w:val="28"/>
          <w:u w:val="single"/>
        </w:rPr>
        <w:t xml:space="preserve"> года</w:t>
      </w:r>
      <w:r>
        <w:rPr>
          <w:rFonts w:ascii="Times New Roman" w:hAnsi="Times New Roman"/>
          <w:sz w:val="28"/>
        </w:rPr>
        <w:t>.</w:t>
      </w:r>
    </w:p>
    <w:p w14:paraId="1B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15. Сведения о </w:t>
      </w:r>
      <w:r>
        <w:rPr>
          <w:rFonts w:ascii="Times New Roman" w:hAnsi="Times New Roman"/>
          <w:sz w:val="28"/>
        </w:rPr>
        <w:t>проведении</w:t>
      </w:r>
      <w:r>
        <w:rPr>
          <w:rFonts w:ascii="Times New Roman" w:hAnsi="Times New Roman"/>
          <w:sz w:val="28"/>
        </w:rPr>
        <w:t xml:space="preserve"> публичных обсуждений</w:t>
      </w:r>
      <w:r>
        <w:rPr>
          <w:rFonts w:ascii="Times New Roman" w:hAnsi="Times New Roman"/>
          <w:sz w:val="28"/>
        </w:rPr>
        <w:t>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u w:val="single"/>
        </w:rPr>
        <w:t xml:space="preserve">с </w:t>
      </w:r>
      <w:r>
        <w:rPr>
          <w:rFonts w:ascii="Times New Roman" w:hAnsi="Times New Roman"/>
          <w:sz w:val="28"/>
          <w:u w:val="single"/>
        </w:rPr>
        <w:t>08</w:t>
      </w:r>
      <w:r>
        <w:rPr>
          <w:rFonts w:ascii="Times New Roman" w:hAnsi="Times New Roman"/>
          <w:sz w:val="28"/>
          <w:u w:val="single"/>
        </w:rPr>
        <w:t>.</w:t>
      </w:r>
      <w:r>
        <w:rPr>
          <w:rFonts w:ascii="Times New Roman" w:hAnsi="Times New Roman"/>
          <w:sz w:val="28"/>
          <w:u w:val="single"/>
        </w:rPr>
        <w:t>11</w:t>
      </w:r>
      <w:r>
        <w:rPr>
          <w:rFonts w:ascii="Times New Roman" w:hAnsi="Times New Roman"/>
          <w:sz w:val="28"/>
          <w:u w:val="single"/>
        </w:rPr>
        <w:t>.202</w:t>
      </w:r>
      <w:r>
        <w:rPr>
          <w:rFonts w:ascii="Times New Roman" w:hAnsi="Times New Roman"/>
          <w:sz w:val="28"/>
          <w:u w:val="single"/>
        </w:rPr>
        <w:t>4</w:t>
      </w:r>
      <w:r>
        <w:rPr>
          <w:rFonts w:ascii="Times New Roman" w:hAnsi="Times New Roman"/>
          <w:sz w:val="28"/>
          <w:u w:val="single"/>
        </w:rPr>
        <w:t xml:space="preserve"> по 06</w:t>
      </w:r>
      <w:r>
        <w:rPr>
          <w:rFonts w:ascii="Times New Roman" w:hAnsi="Times New Roman"/>
          <w:sz w:val="28"/>
          <w:u w:val="single"/>
        </w:rPr>
        <w:t>.</w:t>
      </w:r>
      <w:r>
        <w:rPr>
          <w:rFonts w:ascii="Times New Roman" w:hAnsi="Times New Roman"/>
          <w:sz w:val="28"/>
          <w:u w:val="single"/>
        </w:rPr>
        <w:t>12</w:t>
      </w:r>
      <w:r>
        <w:rPr>
          <w:rFonts w:ascii="Times New Roman" w:hAnsi="Times New Roman"/>
          <w:sz w:val="28"/>
          <w:u w:val="single"/>
        </w:rPr>
        <w:t>.202</w:t>
      </w:r>
      <w:r>
        <w:rPr>
          <w:rFonts w:ascii="Times New Roman" w:hAnsi="Times New Roman"/>
          <w:sz w:val="28"/>
          <w:u w:val="single"/>
        </w:rPr>
        <w:t>4</w:t>
      </w:r>
    </w:p>
    <w:p w14:paraId="1C000000">
      <w:pPr>
        <w:pStyle w:val="Style_2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16. Иные сведения, которые, по мнению органа-разработчика, позволяют оценить обоснованность предлагаемого регулирования: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u w:val="single"/>
        </w:rPr>
        <w:t>не имеются</w:t>
      </w:r>
      <w:r>
        <w:rPr>
          <w:rFonts w:ascii="Times New Roman" w:hAnsi="Times New Roman"/>
          <w:sz w:val="28"/>
        </w:rPr>
        <w:t xml:space="preserve">. </w:t>
      </w:r>
      <w:bookmarkStart w:id="1" w:name="_GoBack"/>
      <w:bookmarkEnd w:id="1"/>
    </w:p>
    <w:p w14:paraId="1D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</w:p>
    <w:p w14:paraId="1E000000">
      <w:pPr>
        <w:spacing w:after="0" w:line="240" w:lineRule="auto"/>
        <w:ind w:firstLine="0" w:left="-567"/>
        <w:jc w:val="both"/>
        <w:rPr>
          <w:rFonts w:ascii="Times New Roman" w:hAnsi="Times New Roman"/>
          <w:sz w:val="28"/>
        </w:rPr>
      </w:pPr>
    </w:p>
    <w:p w14:paraId="1F000000">
      <w:pPr>
        <w:spacing w:after="0" w:line="240" w:lineRule="auto"/>
        <w:ind w:firstLine="0" w:left="-567"/>
        <w:jc w:val="both"/>
        <w:rPr>
          <w:rFonts w:ascii="Times New Roman" w:hAnsi="Times New Roman"/>
          <w:sz w:val="28"/>
        </w:rPr>
      </w:pPr>
    </w:p>
    <w:sectPr>
      <w:pgSz w:h="16838" w:orient="portrait" w:w="11906"/>
      <w:pgMar w:bottom="1134" w:footer="708" w:gutter="0" w:header="708" w:left="1701" w:right="850" w:top="709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toc 3"/>
    <w:next w:val="Style_3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ConsPlusNormal"/>
    <w:link w:val="Style_11_ch"/>
    <w:pPr>
      <w:spacing w:after="0" w:line="240" w:lineRule="auto"/>
      <w:ind w:firstLine="720" w:left="0"/>
    </w:pPr>
    <w:rPr>
      <w:rFonts w:ascii="Arial" w:hAnsi="Arial"/>
      <w:sz w:val="20"/>
    </w:rPr>
  </w:style>
  <w:style w:styleId="Style_11_ch" w:type="character">
    <w:name w:val="ConsPlusNormal"/>
    <w:link w:val="Style_11"/>
    <w:rPr>
      <w:rFonts w:ascii="Arial" w:hAnsi="Arial"/>
      <w:sz w:val="20"/>
    </w:rPr>
  </w:style>
  <w:style w:styleId="Style_12" w:type="paragraph">
    <w:name w:val="List Paragraph"/>
    <w:basedOn w:val="Style_3"/>
    <w:link w:val="Style_12_ch"/>
    <w:pPr>
      <w:ind w:firstLine="0" w:left="720"/>
      <w:contextualSpacing w:val="1"/>
    </w:pPr>
  </w:style>
  <w:style w:styleId="Style_12_ch" w:type="character">
    <w:name w:val="List Paragraph"/>
    <w:basedOn w:val="Style_3_ch"/>
    <w:link w:val="Style_12"/>
  </w:style>
  <w:style w:styleId="Style_13" w:type="paragraph">
    <w:name w:val="heading 5"/>
    <w:next w:val="Style_3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next w:val="Style_3"/>
    <w:link w:val="Style_1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" w:type="paragraph">
    <w:name w:val="Hyperlink"/>
    <w:basedOn w:val="Style_15"/>
    <w:link w:val="Style_1_ch"/>
    <w:rPr>
      <w:color w:themeColor="hyperlink" w:val="0000FF"/>
      <w:u w:val="single"/>
    </w:rPr>
  </w:style>
  <w:style w:styleId="Style_1_ch" w:type="character">
    <w:name w:val="Hyperlink"/>
    <w:basedOn w:val="Style_15_ch"/>
    <w:link w:val="Style_1"/>
    <w:rPr>
      <w:color w:themeColor="hyperlink"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3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Balloon Text"/>
    <w:basedOn w:val="Style_3"/>
    <w:link w:val="Style_19_ch"/>
    <w:pPr>
      <w:spacing w:after="0" w:line="240" w:lineRule="auto"/>
      <w:ind/>
    </w:pPr>
    <w:rPr>
      <w:rFonts w:ascii="Tahoma" w:hAnsi="Tahoma"/>
      <w:sz w:val="16"/>
    </w:rPr>
  </w:style>
  <w:style w:styleId="Style_19_ch" w:type="character">
    <w:name w:val="Balloon Text"/>
    <w:basedOn w:val="Style_3_ch"/>
    <w:link w:val="Style_19"/>
    <w:rPr>
      <w:rFonts w:ascii="Tahoma" w:hAnsi="Tahoma"/>
      <w:sz w:val="16"/>
    </w:rPr>
  </w:style>
  <w:style w:styleId="Style_20" w:type="paragraph">
    <w:name w:val="toc 9"/>
    <w:next w:val="Style_3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" w:type="paragraph">
    <w:name w:val="ConsPlusNonformat"/>
    <w:link w:val="Style_2_ch"/>
    <w:pPr>
      <w:widowControl w:val="0"/>
      <w:spacing w:after="0" w:line="240" w:lineRule="auto"/>
      <w:ind/>
    </w:pPr>
    <w:rPr>
      <w:rFonts w:ascii="Courier New" w:hAnsi="Courier New"/>
      <w:sz w:val="20"/>
    </w:rPr>
  </w:style>
  <w:style w:styleId="Style_2_ch" w:type="character">
    <w:name w:val="ConsPlusNonformat"/>
    <w:link w:val="Style_2"/>
    <w:rPr>
      <w:rFonts w:ascii="Courier New" w:hAnsi="Courier New"/>
      <w:sz w:val="20"/>
    </w:rPr>
  </w:style>
  <w:style w:styleId="Style_21" w:type="paragraph">
    <w:name w:val="toc 8"/>
    <w:next w:val="Style_3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3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15" w:type="paragraph">
    <w:name w:val="Default Paragraph Font"/>
    <w:link w:val="Style_15_ch"/>
  </w:style>
  <w:style w:styleId="Style_15_ch" w:type="character">
    <w:name w:val="Default Paragraph Font"/>
    <w:link w:val="Style_15"/>
  </w:style>
  <w:style w:styleId="Style_23" w:type="paragraph">
    <w:name w:val="Subtitle"/>
    <w:next w:val="Style_3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3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3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3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default="1" w:styleId="Style_2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2025-03-12T09:57:38Z</dcterms:modified>
</cp:coreProperties>
</file>