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Style_1"/>
        <w:tblW w:w="14829" w:type="dxa"/>
        <w:jc w:val="left"/>
        <w:tblInd w:w="-6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4140"/>
        <w:gridCol w:w="1105"/>
        <w:gridCol w:w="1168"/>
        <w:gridCol w:w="991"/>
        <w:gridCol w:w="1766"/>
        <w:gridCol w:w="1590"/>
        <w:gridCol w:w="927"/>
        <w:gridCol w:w="1281"/>
        <w:gridCol w:w="1238"/>
      </w:tblGrid>
      <w:tr>
        <w:trPr>
          <w:trHeight w:val="686" w:hRule="atLeast"/>
        </w:trPr>
        <w:tc>
          <w:tcPr>
            <w:tcW w:w="14827" w:type="dxa"/>
            <w:gridSpan w:val="10"/>
            <w:tcBorders/>
            <w:shd w:fill="auto" w:val="clear"/>
            <w:vAlign w:val="bottom"/>
          </w:tcPr>
          <w:p>
            <w:pPr>
              <w:pStyle w:val="Normal"/>
              <w:pageBreakBefore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b/>
                <w:color w:val="000000"/>
                <w:spacing w:val="0"/>
                <w:kern w:val="0"/>
                <w:sz w:val="24"/>
                <w:szCs w:val="24"/>
              </w:rPr>
              <w:t xml:space="preserve">Информация об исполнении плана достижения показателей муниципальной программы </w:t>
              <w:br/>
              <w:t>«Жилье» за 2 квартал 2026 г.</w:t>
            </w:r>
          </w:p>
        </w:tc>
      </w:tr>
      <w:tr>
        <w:trPr>
          <w:trHeight w:val="300" w:hRule="atLeast"/>
        </w:trPr>
        <w:tc>
          <w:tcPr>
            <w:tcW w:w="621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b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b/>
                <w:color w:val="000000"/>
                <w:sz w:val="24"/>
                <w:szCs w:val="24"/>
              </w:rPr>
            </w:r>
          </w:p>
        </w:tc>
        <w:tc>
          <w:tcPr>
            <w:tcW w:w="4140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  <w:tc>
          <w:tcPr>
            <w:tcW w:w="1105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  <w:tc>
          <w:tcPr>
            <w:tcW w:w="1168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  <w:tc>
          <w:tcPr>
            <w:tcW w:w="991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  <w:tc>
          <w:tcPr>
            <w:tcW w:w="1766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  <w:tc>
          <w:tcPr>
            <w:tcW w:w="1590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  <w:tc>
          <w:tcPr>
            <w:tcW w:w="927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  <w:tc>
          <w:tcPr>
            <w:tcW w:w="1281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  <w:tc>
          <w:tcPr>
            <w:tcW w:w="1238" w:type="dxa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</w:tr>
      <w:tr>
        <w:trPr>
          <w:trHeight w:val="551" w:hRule="atLeast"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N п/п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Цели/показатели муниципальной программы</w:t>
            </w:r>
          </w:p>
        </w:tc>
        <w:tc>
          <w:tcPr>
            <w:tcW w:w="10066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Плановые значения по месяцам</w:t>
            </w:r>
          </w:p>
        </w:tc>
      </w:tr>
      <w:tr>
        <w:trPr>
          <w:trHeight w:val="300" w:hRule="atLeast"/>
        </w:trPr>
        <w:tc>
          <w:tcPr>
            <w:tcW w:w="6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pacing w:val="0"/>
                <w:kern w:val="0"/>
                <w:sz w:val="24"/>
                <w:szCs w:val="24"/>
              </w:rPr>
            </w:pP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</w:r>
          </w:p>
        </w:tc>
        <w:tc>
          <w:tcPr>
            <w:tcW w:w="41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pacing w:val="0"/>
                <w:kern w:val="0"/>
                <w:sz w:val="24"/>
                <w:szCs w:val="24"/>
              </w:rPr>
            </w:pP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февраль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март</w:t>
            </w:r>
          </w:p>
        </w:tc>
        <w:tc>
          <w:tcPr>
            <w:tcW w:w="176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Факт за 1 квартал 2026 года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апрель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май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июнь</w:t>
            </w:r>
          </w:p>
        </w:tc>
        <w:tc>
          <w:tcPr>
            <w:tcW w:w="123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Факт за 1 полугодие 2026 года</w:t>
            </w:r>
          </w:p>
        </w:tc>
      </w:tr>
      <w:tr>
        <w:trPr>
          <w:trHeight w:val="503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14206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Цель муниципальной программы</w:t>
            </w: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  <w:t xml:space="preserve"> "Обеспечение жильем к 2030 году не менее 162 семей"</w:t>
            </w:r>
          </w:p>
        </w:tc>
      </w:tr>
      <w:tr>
        <w:trPr>
          <w:trHeight w:val="732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1.1.</w:t>
            </w:r>
          </w:p>
        </w:tc>
        <w:tc>
          <w:tcPr>
            <w:tcW w:w="414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Показатель 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  <w:t>Всего количество семей, улучшивших жилищные условия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6</w:t>
            </w:r>
          </w:p>
        </w:tc>
        <w:tc>
          <w:tcPr>
            <w:tcW w:w="176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10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7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22</w:t>
            </w:r>
          </w:p>
        </w:tc>
      </w:tr>
      <w:tr>
        <w:trPr>
          <w:trHeight w:val="732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</w:r>
          </w:p>
        </w:tc>
        <w:tc>
          <w:tcPr>
            <w:tcW w:w="414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 xml:space="preserve">Показатель 2 </w:t>
            </w: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  <w:t>Количество квадратных метров расселенного непригодного для проживания жилищного фонда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6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59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  <w:t>0</w:t>
            </w:r>
          </w:p>
        </w:tc>
        <w:tc>
          <w:tcPr>
            <w:tcW w:w="927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  <w:t>76,2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color w:val="000000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z w:val="24"/>
                <w:szCs w:val="24"/>
              </w:rPr>
              <w:t>76,2</w:t>
            </w:r>
          </w:p>
        </w:tc>
      </w:tr>
    </w:tbl>
    <w:p>
      <w:pPr>
        <w:pStyle w:val="Normal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sz w:val="28"/>
        </w:rPr>
      </w:pPr>
      <w:r>
        <w:rPr>
          <w:b/>
          <w:sz w:val="28"/>
        </w:rPr>
      </w:r>
    </w:p>
    <w:tbl>
      <w:tblPr>
        <w:tblStyle w:val="Style_1"/>
        <w:tblW w:w="14848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1080"/>
        <w:gridCol w:w="1195"/>
        <w:gridCol w:w="965"/>
        <w:gridCol w:w="1308"/>
        <w:gridCol w:w="1130"/>
        <w:gridCol w:w="1360"/>
        <w:gridCol w:w="1359"/>
        <w:gridCol w:w="1409"/>
      </w:tblGrid>
      <w:tr>
        <w:trPr>
          <w:trHeight w:val="312" w:hRule="atLeast"/>
        </w:trPr>
        <w:tc>
          <w:tcPr>
            <w:tcW w:w="14846" w:type="dxa"/>
            <w:gridSpan w:val="9"/>
            <w:tcBorders/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0"/>
                <w:highlight w:val="none"/>
                <w:shd w:fill="auto" w:val="clear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4"/>
                <w:shd w:fill="auto" w:val="clear"/>
              </w:rPr>
              <w:t>Информация об исполнении плана достижения показателей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pacing w:val="0"/>
                <w:kern w:val="0"/>
                <w:sz w:val="24"/>
              </w:rPr>
              <w:t xml:space="preserve"> </w:t>
            </w:r>
            <w:r>
              <w:rPr>
                <w:b/>
                <w:color w:val="000000"/>
                <w:spacing w:val="0"/>
                <w:kern w:val="0"/>
                <w:sz w:val="24"/>
              </w:rPr>
              <w:t xml:space="preserve">муниципального проекта «Обеспечение повышения доступности жилья» </w:t>
              <w:br/>
              <w:t xml:space="preserve"> за 2 квартал 2026 г.</w:t>
            </w:r>
          </w:p>
        </w:tc>
      </w:tr>
      <w:tr>
        <w:trPr>
          <w:trHeight w:val="443" w:hRule="atLeast"/>
        </w:trPr>
        <w:tc>
          <w:tcPr>
            <w:tcW w:w="5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9806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План исполнения нарастающим итогом</w:t>
            </w:r>
          </w:p>
        </w:tc>
      </w:tr>
      <w:tr>
        <w:trPr>
          <w:trHeight w:val="1800" w:hRule="atLeast"/>
        </w:trPr>
        <w:tc>
          <w:tcPr>
            <w:tcW w:w="5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январь</w:t>
            </w:r>
          </w:p>
        </w:tc>
        <w:tc>
          <w:tcPr>
            <w:tcW w:w="119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февраль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март</w:t>
            </w:r>
          </w:p>
        </w:tc>
        <w:tc>
          <w:tcPr>
            <w:tcW w:w="130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Факт за 1 квартал 2026 года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апрель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май</w:t>
            </w:r>
          </w:p>
        </w:tc>
        <w:tc>
          <w:tcPr>
            <w:tcW w:w="135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июнь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Факт за 2 полугодие 2026 года</w:t>
            </w:r>
          </w:p>
        </w:tc>
      </w:tr>
      <w:tr>
        <w:trPr>
          <w:trHeight w:val="503" w:hRule="atLeast"/>
        </w:trPr>
        <w:tc>
          <w:tcPr>
            <w:tcW w:w="148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Задача 1 «Приобретение жилых помещений для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</w:tr>
      <w:tr>
        <w:trPr>
          <w:trHeight w:val="844" w:hRule="atLeast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1. Количество семей, обеспеченных жилыми помещениями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30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pacing w:val="0"/>
                <w:kern w:val="0"/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color w:val="auto"/>
                <w:sz w:val="24"/>
                <w:szCs w:val="24"/>
              </w:rPr>
            </w:pPr>
            <w:r>
              <w:rPr>
                <w:b w:val="false"/>
                <w:color w:val="auto"/>
                <w:sz w:val="24"/>
                <w:szCs w:val="24"/>
              </w:rPr>
              <w:t>6</w:t>
            </w:r>
          </w:p>
        </w:tc>
        <w:tc>
          <w:tcPr>
            <w:tcW w:w="135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b w:val="false"/>
                <w:color w:val="auto"/>
                <w:sz w:val="24"/>
                <w:szCs w:val="24"/>
              </w:rPr>
            </w:pPr>
            <w:r>
              <w:rPr>
                <w:b w:val="false"/>
                <w:color w:val="auto"/>
                <w:sz w:val="24"/>
                <w:szCs w:val="24"/>
              </w:rPr>
              <w:t>0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6</w:t>
            </w:r>
          </w:p>
        </w:tc>
      </w:tr>
      <w:tr>
        <w:trPr>
          <w:trHeight w:val="491" w:hRule="atLeast"/>
        </w:trPr>
        <w:tc>
          <w:tcPr>
            <w:tcW w:w="148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Задача 2 «Обеспечение жильем отдельных социально незащищенных категорий граждан, нуждающихся в улучшении жилищных условий»</w:t>
            </w:r>
          </w:p>
        </w:tc>
      </w:tr>
      <w:tr>
        <w:trPr>
          <w:trHeight w:val="652" w:hRule="atLeast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2. Количество семей, обеспеченных жилыми помещениями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4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  <w:szCs w:val="24"/>
              </w:rPr>
              <w:t>6</w:t>
            </w:r>
          </w:p>
        </w:tc>
        <w:tc>
          <w:tcPr>
            <w:tcW w:w="130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  <w:szCs w:val="24"/>
              </w:rPr>
              <w:t>10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</w:rPr>
              <w:t>1</w:t>
            </w:r>
          </w:p>
        </w:tc>
        <w:tc>
          <w:tcPr>
            <w:tcW w:w="135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</w:rPr>
              <w:t>3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</w:rPr>
              <w:t>14</w:t>
            </w:r>
          </w:p>
        </w:tc>
      </w:tr>
      <w:tr>
        <w:trPr>
          <w:trHeight w:val="541" w:hRule="atLeast"/>
        </w:trPr>
        <w:tc>
          <w:tcPr>
            <w:tcW w:w="148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98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Задача 3 «Обеспечение жильем граждан, проживающих в ветхом и аварийном жилом фонде, уменьшение количества ветхого и аварийного жилого фонда»</w:t>
            </w:r>
          </w:p>
        </w:tc>
      </w:tr>
      <w:tr>
        <w:trPr>
          <w:trHeight w:val="864" w:hRule="atLeast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3. Количество квадратных метров расселенного непригодного для проживания жилищного фонда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30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</w:rPr>
              <w:t>0</w:t>
            </w:r>
          </w:p>
        </w:tc>
        <w:tc>
          <w:tcPr>
            <w:tcW w:w="135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</w:rPr>
              <w:t>0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</w:rPr>
              <w:t>0</w:t>
            </w:r>
          </w:p>
        </w:tc>
      </w:tr>
      <w:tr>
        <w:trPr>
          <w:trHeight w:val="679" w:hRule="atLeast"/>
        </w:trPr>
        <w:tc>
          <w:tcPr>
            <w:tcW w:w="148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Задача 4 «Обеспечение повышения доступности жилья, снижение финансовой нагрузки семьям, имеющим ипотечные жилищные кредиты или займы»</w:t>
            </w:r>
          </w:p>
        </w:tc>
      </w:tr>
      <w:tr>
        <w:trPr>
          <w:trHeight w:val="279" w:hRule="atLeast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4. Количество семей, обеспеченных жилыми помещениями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30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</w:rPr>
              <w:t>0</w:t>
            </w:r>
          </w:p>
        </w:tc>
        <w:tc>
          <w:tcPr>
            <w:tcW w:w="135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</w:rPr>
              <w:t>0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pacing w:val="0"/>
                <w:kern w:val="0"/>
                <w:sz w:val="24"/>
              </w:rPr>
              <w:t>0</w:t>
            </w:r>
          </w:p>
        </w:tc>
      </w:tr>
      <w:tr>
        <w:trPr>
          <w:trHeight w:val="700" w:hRule="atLeast"/>
        </w:trPr>
        <w:tc>
          <w:tcPr>
            <w:tcW w:w="148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Задача 5 «Создание условий для привлечения молодыми семьями собственных средств, финансовых средств банков и других организаций, предоставляющих ипотечные жилищные кредиты и займы для приобретения или строительства индивидуального жилья»</w:t>
            </w:r>
          </w:p>
        </w:tc>
      </w:tr>
      <w:tr>
        <w:trPr>
          <w:trHeight w:val="1200" w:hRule="atLeast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5. Количество семей, обеспеченных жилыми помещениями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30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35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</w:p>
        </w:tc>
      </w:tr>
      <w:tr>
        <w:trPr>
          <w:trHeight w:val="470" w:hRule="atLeast"/>
        </w:trPr>
        <w:tc>
          <w:tcPr>
            <w:tcW w:w="1484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spacing w:val="0"/>
                <w:kern w:val="0"/>
                <w:sz w:val="24"/>
                <w:szCs w:val="24"/>
              </w:rPr>
              <w:t>Задача 6 «Создание условий для привлечения гражданами, проживающими на сельских территориях, собственных средств, финансовых средств банков и других организаций, предоставляющих ипотечные жилищные кредиты и займы для приобретения жилья и строительства индивидуального жилья"</w:t>
            </w:r>
          </w:p>
        </w:tc>
      </w:tr>
      <w:tr>
        <w:trPr>
          <w:trHeight w:val="783" w:hRule="atLeast"/>
        </w:trPr>
        <w:tc>
          <w:tcPr>
            <w:tcW w:w="5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6. Количество семей, обеспеченных жилыми помещениями</w:t>
            </w:r>
          </w:p>
        </w:tc>
        <w:tc>
          <w:tcPr>
            <w:tcW w:w="108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965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30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kern w:val="0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5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14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4"/>
                <w:szCs w:val="24"/>
              </w:rPr>
              <w:t>0</w:t>
            </w:r>
          </w:p>
        </w:tc>
      </w:tr>
    </w:tbl>
    <w:p>
      <w:pPr>
        <w:pStyle w:val="Normal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color w:val="000000"/>
          <w:sz w:val="23"/>
        </w:rPr>
      </w:pPr>
      <w:r>
        <w:rPr>
          <w:color w:val="000000"/>
          <w:sz w:val="23"/>
        </w:rPr>
      </w:r>
      <w:r>
        <w:br w:type="page"/>
      </w:r>
    </w:p>
    <w:tbl>
      <w:tblPr>
        <w:tblStyle w:val="Style_1"/>
        <w:tblW w:w="15867" w:type="dxa"/>
        <w:jc w:val="left"/>
        <w:tblInd w:w="-479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747"/>
        <w:gridCol w:w="2554"/>
        <w:gridCol w:w="2604"/>
        <w:gridCol w:w="2158"/>
        <w:gridCol w:w="2439"/>
        <w:gridCol w:w="2718"/>
        <w:gridCol w:w="2646"/>
      </w:tblGrid>
      <w:tr>
        <w:trPr>
          <w:trHeight w:val="1765" w:hRule="atLeast"/>
        </w:trPr>
        <w:tc>
          <w:tcPr>
            <w:tcW w:w="15866" w:type="dxa"/>
            <w:gridSpan w:val="7"/>
            <w:tcBorders/>
            <w:shd w:fill="auto" w:val="clear"/>
          </w:tcPr>
          <w:p>
            <w:pPr>
              <w:pStyle w:val="Normal"/>
              <w:pageBreakBefore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4"/>
              </w:rPr>
              <w:t>Информация об исполнении плана реализации мероприятий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0"/>
                <w:kern w:val="0"/>
                <w:sz w:val="24"/>
                <w:szCs w:val="24"/>
              </w:rPr>
              <w:t>муниципального проекта  «Обеспечение повышения доступности жилья»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tbl>
            <w:tblPr>
              <w:tblW w:w="15640" w:type="dxa"/>
              <w:jc w:val="left"/>
              <w:tblInd w:w="67" w:type="dxa"/>
              <w:tblLayout w:type="fixed"/>
              <w:tblCellMar>
                <w:top w:w="102" w:type="dxa"/>
                <w:left w:w="108" w:type="dxa"/>
                <w:bottom w:w="102" w:type="dxa"/>
                <w:right w:w="108" w:type="dxa"/>
              </w:tblCellMar>
            </w:tblPr>
            <w:tblGrid>
              <w:gridCol w:w="611"/>
              <w:gridCol w:w="4329"/>
              <w:gridCol w:w="1803"/>
              <w:gridCol w:w="1749"/>
              <w:gridCol w:w="2668"/>
              <w:gridCol w:w="2720"/>
              <w:gridCol w:w="1759"/>
            </w:tblGrid>
            <w:tr>
              <w:trPr/>
              <w:tc>
                <w:tcPr>
                  <w:tcW w:w="61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N п/п</w:t>
                  </w:r>
                </w:p>
              </w:tc>
              <w:tc>
                <w:tcPr>
                  <w:tcW w:w="432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Наименование мероприятия (результата), контрольной точки</w:t>
                  </w:r>
                </w:p>
              </w:tc>
              <w:tc>
                <w:tcPr>
                  <w:tcW w:w="3552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Срок реализации</w:t>
                  </w:r>
                </w:p>
              </w:tc>
              <w:tc>
                <w:tcPr>
                  <w:tcW w:w="2668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Ответственный исполнитель (участник муниципальной программы)</w:t>
                  </w:r>
                </w:p>
              </w:tc>
              <w:tc>
                <w:tcPr>
                  <w:tcW w:w="272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Вид документа и характеристика мероприятия (результата), контрольной точки</w:t>
                  </w:r>
                </w:p>
              </w:tc>
              <w:tc>
                <w:tcPr>
                  <w:tcW w:w="175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Информация о фактическом исполнении на 01.07.2026</w:t>
                  </w:r>
                </w:p>
              </w:tc>
            </w:tr>
            <w:tr>
              <w:trPr/>
              <w:tc>
                <w:tcPr>
                  <w:tcW w:w="611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4329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начало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окончание</w:t>
                  </w:r>
                </w:p>
              </w:tc>
              <w:tc>
                <w:tcPr>
                  <w:tcW w:w="2668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2720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1759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028" w:type="dxa"/>
                  <w:gridSpan w:val="6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Autospacing="1" w:after="0"/>
                    <w:ind w:left="0" w:right="0" w:hanging="0"/>
                    <w:jc w:val="left"/>
                    <w:rPr>
                      <w:sz w:val="20"/>
                    </w:rPr>
                  </w:pPr>
                  <w:r>
                    <w:rPr>
                      <w:color w:val="000000"/>
                      <w:spacing w:val="0"/>
                      <w:kern w:val="0"/>
                      <w:sz w:val="20"/>
                      <w:szCs w:val="20"/>
                    </w:rPr>
                    <w:t>Задача 1 «Приобретение жилых помещений для детей-сирот и детей, оставшихся без попечения родителей, лиц из числа детей - сирот и детей, оставшихся без попечения родителей»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1.1.</w:t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Мероприятие (результат)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1.1.1. "Заключение Соглашения о предоставлении субвенций из бюджета Кемеровской области - Кузбасса бюджету Прокопьевского муниципального округа"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01.02.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15.02.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Комитет по управлению муниципальной собственностью администрации Прокопьевского муниципального округа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Соглашение о предоставлении субвенций из бюджета Кемеровской области - Кузбасса бюджету Прокопьевского муниципального округа на осуществление переданных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исполнено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1.1.2. "Подготовка конкурсной документации на объявление аукциона по приобретению жилых помещений для обеспечения жилищных прав детей-сирот и детей, оставшихся без попечения родителей"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15.02.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15.03.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Комитет по управлению муниципальной собственностью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исполнено</w:t>
                  </w:r>
                </w:p>
              </w:tc>
            </w:tr>
            <w:tr>
              <w:trPr>
                <w:trHeight w:val="1917" w:hRule="atLeast"/>
              </w:trPr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1.1.3. "Подписание муниципального контракта на приобретение жилых помещений для обеспечения жилищных прав детей-сирот и детей, оставшихся без попечения родителей, лиц из числа детей-сирот и детей, оставшихся без попечения родителей"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 ранее чем через 10 дней после окончания аукциона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День подписания муниципального контракта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Комитет по управлению муниципальной собственностью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Муниципальный контракт на приобретение жилых помещений для обеспечения жилищных прав детей-сирот и детей, оставшихся без попечения родителей, лиц из числа детей-сирот и детей, оставшихся без попечения родителей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исполнено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1.1.4. "Заключение договора найма жилого помещения для детей-сирот и детей, оставшихся без попечения родителей, лиц из числа детей-сирот и детей, оставшихся без попечения родителей"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течение 15 дней после вынесения решения жилищной комиссии администрации Прокопьевского муниципального округа о предоставлении жилого помещения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День подписания договора найма жилого помещения для детей-сирот и детей, оставшихся без попечения родителей, лиц из числа детей-сирот и детей, оставшихся без попечения родителей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Комитет по управлению муниципальной собственностью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Договор найма жилого помещения для детей-сирот и детей, оставшихся без попечения родителей, лиц из числа детей-сирот и детей, оставшихся без попечения родителей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Подписано 6 договоров найма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5028" w:type="dxa"/>
                  <w:gridSpan w:val="6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Autospacing="1" w:after="0"/>
                    <w:ind w:left="0" w:right="0" w:hanging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pacing w:val="0"/>
                      <w:kern w:val="0"/>
                      <w:sz w:val="20"/>
                      <w:szCs w:val="20"/>
                    </w:rPr>
                    <w:t>Задача 2 «Обеспечение жильём отдельных социально незащищённых категорий граждан, нуждающихся в улучшении жилищных условий»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2.1.</w:t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Мероприятие (результат) "Предоставление жилых помещений гражданам, состоящим на учете нуждающихся в жилых помещениях, предоставляемых по договорам социального найма, а также нуждающимся в жилых помещениях, предоставляемых по договорам специализированного (служебного, маневренного) найма из муниципального жилого фонда" в 2026 - 2030 годах реализации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1.2.1. "Выезд на обследование жилых помещений муниципального жилого фонда"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10.01.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30.12.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Комитет по управлению муниципальной собственностью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Акт обследования жилого помещения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Ведется инвентаризация муниципального жилого фонда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1.2.2. "Составление локально сметного расчета (сметы) на проведение ремонтных работ в жилых помещениях муниципального жилого фонда"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течение года, по мере необходимости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МКУ "Управление по делам жизнеобеспечения населенных пунктов Прокопьевского муниципального района"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Локально сметный расчет (смета)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Составляются локально-сметные расчеты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1.2.3. "Подготовка конкурсной документации на объявление аукциона на проведение ремонтных работ в жилых помещениях муниципального жилого фонда"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течение года, по мере необходимости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Комитет по управлению муниципальной собственностью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>
              <w:trPr>
                <w:trHeight w:val="1094" w:hRule="atLeast"/>
              </w:trPr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1.2.4. "Подписание муниципального контракта на проведение ремонтных работ в жилом помещении муниципального жилого фонда"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 ранее чем через 10 дней после окончания аукциона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День подписания муниципального контракта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Комитет по управлению муниципальной собственностью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Муниципальный контракт на выполнение работ по текущему ремонту жилого помещения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028" w:type="dxa"/>
                  <w:gridSpan w:val="6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Autospacing="1" w:after="0"/>
                    <w:ind w:left="0" w:right="0" w:hanging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pacing w:val="0"/>
                      <w:kern w:val="0"/>
                      <w:sz w:val="20"/>
                      <w:szCs w:val="20"/>
                    </w:rPr>
                    <w:t>Задача 3 «Обеспечение жильем граждан, проживающих в ветхом и аварийном жилом фонде, уменьшение количества ветхого и аварийного жилого фонда»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3.1.</w:t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Мероприятие (результат) "Переселение граждан из жилых помещений, признанных в установленном законном порядке непригодными для проживания, и многоквартирных жилых домов, признанных аварийными и подлежащими сносу" в 2026 - 2030 годах реализации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1.3.1. "Определение количества граждан, нуждающихся в переселении из жилых помещений, признанных в установленном законном порядке непригодными для проживания, и многоквартирных жилых домов, признанных аварийными и подлежащими сносу"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10.01.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01.03.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Список граждан, нуждающихся в переселении из жилых помещений, признанных в установленном законном порядке непригодными для проживания, и многоквартирных жилых домов, признанных аварийными и подлежащими сносу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исполнено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Контрольная точка 1.3.2. "Проведение жилищных комиссий администрации Прокопьевского муниципального округа о предоставлении гражданам жилого помещения или возмещения за изымаемое жилое помещение"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01.04.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30.10.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Решение жилищной комиссии администрации Прокопьевского муниципального округа.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Постановление администрации Прокопьевского муниципального округа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1.3.3. "Заключение соглашения об изъятии недвижимого имущества или заключение договора социального найма жилого помещения с гражданами"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30 дней с даты вынесения решения жилищной комиссии администрации Прокопьевского муниципального округа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заключения соглашения или дата заключения договора социального найма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Комитет по управлению муниципальной собственностью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Соглашение об изъятии недвижимого имущества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Договор социального найма жилого помещения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1.3.4. "Снос жилых помещений, признанных в установленном законном порядке непригодными для проживания, многоквартирных жилых домов, признанных аварийными и подлежащими сносу"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60 дней с даты заключения соглашения или даты заключения договора социального найма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сноса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Комитет по управлению муниципальной собственностью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Акт обследования, фотофиксация, выписка из Единого государственного реестра недвижимости о снятии объекта с кадастрового учета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028" w:type="dxa"/>
                  <w:gridSpan w:val="6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0" w:right="0" w:hanging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pacing w:val="0"/>
                      <w:kern w:val="0"/>
                      <w:sz w:val="20"/>
                      <w:szCs w:val="20"/>
                    </w:rPr>
                    <w:t>Задача 4 «Обеспечение повышения доступности жилья, снижение финансовой нагрузки семьям, имеющим ипотечные жилищные кредиты или займы»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4.1.</w:t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Мероприятие (результат) "Предоставление социальных выплат гражданам на строительство индивидуальных жилых домов или приобретение жилых помещений на территории Прокопьевского муниципального округа" в 2026 - 2030 годах реализации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1.4.1. "Получение заявления от граждан на включение в состав участников мероприятия"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подачи заявления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Заявление о включении в состав участников мероприятия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заявления за отчетный период отсутствуют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1.4.2. "Проведение комиссии администрации Прокопьевского муниципального округа о включении в состав участников мероприятия"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20 рабочих дней со дня получения заявления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Решение комиссии администрации Прокопьевского муниципального округа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Постановление администрации Прокопьевского муниципального округа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1.4.3. "Выдача свидетельства о праве на получение социальной выплаты на строительство индивидуального жилого дома или приобретение жилого помещения на территории Прокопьевского муниципального округа Кемеровской области - Кузбасса"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5 (пяти) рабочих дней со дня вступления в силу постановления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выдачи свидетельства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Свидетельство о праве на получение социальной выплаты на строительство индивидуального жилого дома или приобретение жилого помещения на территории Прокопьевского муниципального округа Кемеровской области - Кузбасса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1.4.4. "Получение заявления на оплату социальной выплаты по выданному свидетельству"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подачи заявления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Заявление на оплату социальной выплаты по выданному свидетельству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1.4.5. "Издание постановления администрации Прокопьевского муниципального округа"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5 рабочих дней с даты получения заявления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Не позднее чем через 5 рабочих дней с даты получения заявления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Постановление администрации Прокопьевского муниципального округа о выделении социальной выплаты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1.4.6. "Перечисление средств социальной выплаты"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5 рабочих дней с даты вступления в силу постановления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Не позднее чем через 5 рабочих дней с даты вступления в силу постановления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Отдел бухгалтерского учета и контроля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Платежное поручение, подтверждающее произведенную оплату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5028" w:type="dxa"/>
                  <w:gridSpan w:val="6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Autospacing="1" w:after="0"/>
                    <w:ind w:left="0" w:right="0" w:hanging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pacing w:val="0"/>
                      <w:kern w:val="0"/>
                      <w:sz w:val="20"/>
                      <w:szCs w:val="20"/>
                    </w:rPr>
                    <w:t>Задача 5 «Создание условий для  привлечения молодыми семьями собственных средств, финансовых средств банков и других организаций, предоставляющих ипотечные жилищные кредиты и займы для приобретения или строительства индивидуального жилья»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5.1.</w:t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Мероприятие (результат) 1.5. "Обеспечение жильем молодых семей"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1.5.1. "Получение заявления от молодых семей на включение в состав участников мероприятия"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подачи заявления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Заявление о включении в состав участников мероприятия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исполнено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1.5.2. "Проведение комиссии администрации Прокопьевского муниципального округа о включении в состав участников мероприятия"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5 рабочих дней со дня получения заявления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Решение комиссии администрации Прокопьевского муниципального округа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Постановление администрации Прокопьевского муниципального округа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исполнено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1.5.3. "Заключение Соглашения о предоставлении субвенций из бюджета Кемеровской области - Кузбасса бюджету Прокопьевского муниципального округа"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01.02.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15.02.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Соглашение о предоставлении субвенций из бюджета Кемеровской области - Кузбасса бюджету Прокопьевского муниципального округа на софинансирование расходных обязательств муниципальных образований Кемеровской области - Кузбасса на предоставление социальных выплат молодым семьям на приобретение (строительство) жилья в рамках мероприятия "Реализация мероприятий по обеспечению жильем молодых семей" государственной программы Кемеровской области - Кузбасса "Жилищная и социальная инфраструктура Кузбасса"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исполнено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1.5.4. "Оформление и выдача свидетельства о праве на получение социальной выплаты молодым семьям"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до 01.03.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выдачи свидетельства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Свидетельство о праве на получение социальной выплаты на приобретение жилого помещения или создание объекта индивидуального жилищного строительства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исполнено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1.5.5. "Получение заявки банка на перечисление средств социальной выплаты"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получения заявки банка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Заявки на перечисление средств социальной выплаты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1.5.6. "Издание проекта постановления администрации Прокопьевского муниципального округа"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3 рабочих дней со дня получения от банка заявки на перечисление средств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Не позднее 3 рабочих дней со дня получения от банка заявки на перечисление средств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Постановление администрации Прокопьевского муниципального округа о выделении социальной выплаты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1.5.7. "Перечисление средств социальной выплаты"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7 рабочих дней со дня получения от банка заявки на перечисление средств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Не позднее 7 рабочих дней со дня получения от банка заявки на перечисление средств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Отдел бухгалтерского учета и контроля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Платежное поручение, подтверждающее произведенную оплату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1</w:t>
                  </w:r>
                </w:p>
              </w:tc>
            </w:tr>
            <w:tr>
              <w:trPr>
                <w:trHeight w:val="508" w:hRule="atLeast"/>
              </w:trPr>
              <w:tc>
                <w:tcPr>
                  <w:tcW w:w="611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5028" w:type="dxa"/>
                  <w:gridSpan w:val="6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spacing w:lineRule="auto" w:line="240" w:beforeAutospacing="1" w:after="0"/>
                    <w:ind w:left="0" w:right="0" w:hanging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pacing w:val="0"/>
                      <w:kern w:val="0"/>
                      <w:sz w:val="20"/>
                      <w:szCs w:val="20"/>
                    </w:rPr>
                    <w:t>Задача 6 «Создание условий для  привлечения гражданами, проживающими на сельских территориях собственных средств, финансовых средств банков и других организаций, предоставляющих ипотечные жилищные кредиты и займы для приобретения жилья и строительства индивидуального жилья»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6.1.</w:t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Мероприятие (результат) "Предоставление социальных выплат на улучшение жилищных условий граждан, проживающих на сельских территориях" в 2026 - 2030 годах реализации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</w:r>
                </w:p>
              </w:tc>
            </w:tr>
            <w:tr>
              <w:trPr>
                <w:trHeight w:val="1066" w:hRule="atLeast"/>
              </w:trPr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1.6.1. "Получение заявления от граждан на включение в состав участников мероприятия"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подачи заявления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Заявление о включении в состав участников мероприятия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заявления за отчетный период отсутствуют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1.6.2. "Проведение комиссии администрации Прокопьевского муниципального округа о включении в состав участников мероприятия"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В течение 30 рабочих дней со дня получения заявления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Решение комиссии администрации Прокопьевского муниципального округа</w:t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14"/>
                      <w:szCs w:val="14"/>
                    </w:rPr>
                  </w:pPr>
                  <w:r>
                    <w:rPr>
                      <w:rFonts w:ascii="Tinos" w:hAnsi="Tinos"/>
                      <w:sz w:val="14"/>
                      <w:szCs w:val="14"/>
                    </w:rPr>
                  </w:r>
                </w:p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Постановление администрации Прокопьевского муниципального округа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1.6.3. "Заключение Соглашения о предоставлении субвенций из бюджета Кемеровской области - Кузбасса бюджету муниципального образования"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01.02.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15.02.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Соглашение о предоставлении субвенций из бюджета Кемеровской области - Кузбасса бюджету муниципального образования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  <w:tr>
              <w:trPr>
                <w:trHeight w:val="1425" w:hRule="atLeast"/>
              </w:trPr>
              <w:tc>
                <w:tcPr>
                  <w:tcW w:w="61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</w:rPr>
                  </w:pPr>
                  <w:r>
                    <w:rPr>
                      <w:rFonts w:ascii="Tinos" w:hAnsi="Tinos"/>
                    </w:rPr>
                  </w:r>
                </w:p>
              </w:tc>
              <w:tc>
                <w:tcPr>
                  <w:tcW w:w="43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Контрольная точка 1.6.4. "Выдача свидетельства о предоставлении социальной выплаты на строительство (приобретение) жилья на сельских территориях"</w:t>
                  </w:r>
                </w:p>
              </w:tc>
              <w:tc>
                <w:tcPr>
                  <w:tcW w:w="18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После предоставления оформленного свидетельства Минсельхозом Кузбасса</w:t>
                  </w:r>
                </w:p>
              </w:tc>
              <w:tc>
                <w:tcPr>
                  <w:tcW w:w="17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Дата выдачи свидетельства</w:t>
                  </w:r>
                </w:p>
              </w:tc>
              <w:tc>
                <w:tcPr>
                  <w:tcW w:w="26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Жилищный отдел аппарата администрации Прокопьевского муниципального округа</w:t>
                  </w:r>
                </w:p>
              </w:tc>
              <w:tc>
                <w:tcPr>
                  <w:tcW w:w="27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sz w:val="20"/>
                      <w:szCs w:val="20"/>
                    </w:rPr>
                  </w:pPr>
                  <w:r>
                    <w:rPr>
                      <w:rFonts w:ascii="Tinos" w:hAnsi="Tinos"/>
                      <w:sz w:val="20"/>
                      <w:szCs w:val="20"/>
                    </w:rPr>
                    <w:t>Свидетельство о предоставлении социальной выплаты на строительство (приобретение) жилья на сельских территориях</w:t>
                  </w:r>
                </w:p>
              </w:tc>
              <w:tc>
                <w:tcPr>
                  <w:tcW w:w="17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>
                  <w:pPr>
                    <w:pStyle w:val="Normal"/>
                    <w:widowControl w:val="false"/>
                    <w:tabs>
                      <w:tab w:val="clear" w:pos="708"/>
                    </w:tabs>
                    <w:ind w:left="0" w:right="0" w:hanging="0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  <w:t>-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</w:r>
          </w:p>
        </w:tc>
      </w:tr>
      <w:tr>
        <w:trPr>
          <w:trHeight w:val="1020" w:hRule="atLeast"/>
        </w:trPr>
        <w:tc>
          <w:tcPr>
            <w:tcW w:w="15866" w:type="dxa"/>
            <w:gridSpan w:val="7"/>
            <w:tcBorders/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tbl>
            <w:tblPr>
              <w:tblStyle w:val="Style_1"/>
              <w:tblW w:w="1570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70"/>
              <w:gridCol w:w="1079"/>
              <w:gridCol w:w="1129"/>
              <w:gridCol w:w="1310"/>
              <w:gridCol w:w="1475"/>
              <w:gridCol w:w="1126"/>
              <w:gridCol w:w="966"/>
              <w:gridCol w:w="1260"/>
              <w:gridCol w:w="2091"/>
            </w:tblGrid>
            <w:tr>
              <w:trPr>
                <w:trHeight w:val="1118" w:hRule="atLeast"/>
              </w:trPr>
              <w:tc>
                <w:tcPr>
                  <w:tcW w:w="15706" w:type="dxa"/>
                  <w:gridSpan w:val="9"/>
                  <w:tcBorders/>
                  <w:shd w:fill="auto" w:val="clear"/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b/>
                      <w:color w:val="000000"/>
                      <w:spacing w:val="0"/>
                      <w:kern w:val="0"/>
                      <w:sz w:val="24"/>
                      <w:szCs w:val="24"/>
                    </w:rPr>
                    <w:t>Информация об исполнении плана достижения показателей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b/>
                      <w:color w:val="000000"/>
                      <w:spacing w:val="0"/>
                      <w:kern w:val="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nos" w:hAnsi="Tinos"/>
                      <w:b/>
                      <w:color w:val="000000"/>
                      <w:spacing w:val="0"/>
                      <w:kern w:val="0"/>
                      <w:sz w:val="24"/>
                      <w:szCs w:val="24"/>
                    </w:rPr>
                    <w:t xml:space="preserve">муниципального проекта «Жилье» </w:t>
                    <w:br/>
                    <w:t xml:space="preserve"> за 2 квартал 2026 г.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5270" w:type="dxa"/>
                  <w:tcBorders>
                    <w:bottom w:val="single" w:sz="4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</w:r>
                </w:p>
              </w:tc>
              <w:tc>
                <w:tcPr>
                  <w:tcW w:w="7085" w:type="dxa"/>
                  <w:gridSpan w:val="6"/>
                  <w:tcBorders>
                    <w:bottom w:val="single" w:sz="4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</w:r>
                </w:p>
              </w:tc>
              <w:tc>
                <w:tcPr>
                  <w:tcW w:w="3351" w:type="dxa"/>
                  <w:gridSpan w:val="2"/>
                  <w:tcBorders>
                    <w:bottom w:val="single" w:sz="4" w:space="0" w:color="000000"/>
                  </w:tcBorders>
                  <w:shd w:fill="auto" w:val="clear"/>
                  <w:vAlign w:val="bottom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43" w:hRule="atLeast"/>
              </w:trPr>
              <w:tc>
                <w:tcPr>
                  <w:tcW w:w="5270" w:type="dxa"/>
                  <w:vMerge w:val="restart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Наименование мероприятия (результата)</w:t>
                  </w:r>
                </w:p>
              </w:tc>
              <w:tc>
                <w:tcPr>
                  <w:tcW w:w="10436" w:type="dxa"/>
                  <w:gridSpan w:val="8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План исполнения нарастающим итогом</w:t>
                  </w:r>
                </w:p>
              </w:tc>
            </w:tr>
            <w:tr>
              <w:trPr>
                <w:trHeight w:val="1416" w:hRule="atLeast"/>
              </w:trPr>
              <w:tc>
                <w:tcPr>
                  <w:tcW w:w="5270" w:type="dxa"/>
                  <w:vMerge w:val="continue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left"/>
                    <w:rPr>
                      <w:rFonts w:ascii="Tinos" w:hAnsi="Tinos"/>
                      <w:spacing w:val="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pacing w:val="0"/>
                      <w:kern w:val="0"/>
                      <w:sz w:val="24"/>
                      <w:szCs w:val="24"/>
                    </w:rPr>
                  </w:r>
                </w:p>
              </w:tc>
              <w:tc>
                <w:tcPr>
                  <w:tcW w:w="1079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январь</w:t>
                  </w:r>
                </w:p>
              </w:tc>
              <w:tc>
                <w:tcPr>
                  <w:tcW w:w="1129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февраль</w:t>
                  </w:r>
                </w:p>
              </w:tc>
              <w:tc>
                <w:tcPr>
                  <w:tcW w:w="1310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март</w:t>
                  </w:r>
                </w:p>
              </w:tc>
              <w:tc>
                <w:tcPr>
                  <w:tcW w:w="1475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Факт за 1 квартал 2026 года</w:t>
                  </w:r>
                </w:p>
              </w:tc>
              <w:tc>
                <w:tcPr>
                  <w:tcW w:w="1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апрель</w:t>
                  </w:r>
                </w:p>
              </w:tc>
              <w:tc>
                <w:tcPr>
                  <w:tcW w:w="966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май</w:t>
                  </w:r>
                </w:p>
              </w:tc>
              <w:tc>
                <w:tcPr>
                  <w:tcW w:w="1260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июнь</w:t>
                  </w:r>
                </w:p>
              </w:tc>
              <w:tc>
                <w:tcPr>
                  <w:tcW w:w="2091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Факт за 1 полугодие 2026 года</w:t>
                  </w:r>
                </w:p>
              </w:tc>
            </w:tr>
            <w:tr>
              <w:trPr>
                <w:trHeight w:val="503" w:hRule="atLeast"/>
              </w:trPr>
              <w:tc>
                <w:tcPr>
                  <w:tcW w:w="15706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left="0" w:right="0" w:hanging="0"/>
                    <w:jc w:val="both"/>
                    <w:rPr>
                      <w:sz w:val="20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0"/>
                    </w:rPr>
                    <w:t>Цель «Обеспечение жильем к 2030 году не менее 162 семей»</w:t>
                  </w:r>
                </w:p>
              </w:tc>
            </w:tr>
            <w:tr>
              <w:trPr>
                <w:trHeight w:val="1200" w:hRule="atLeast"/>
              </w:trPr>
              <w:tc>
                <w:tcPr>
                  <w:tcW w:w="527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left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eastAsia="Tahoma" w:cs="Noto Sans Devanagari"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spacing w:val="0"/>
                      <w:kern w:val="0"/>
                      <w:sz w:val="24"/>
                      <w:szCs w:val="24"/>
                      <w:lang w:val="ru-RU" w:eastAsia="zh-CN" w:bidi="hi-IN"/>
                    </w:rPr>
                    <w:t>«Всего количество граждан, переселенных из непригодного жилья», чел.</w:t>
                  </w:r>
                </w:p>
              </w:tc>
              <w:tc>
                <w:tcPr>
                  <w:tcW w:w="1079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29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310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475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pacing w:val="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spacing w:val="0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b w:val="false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b w:val="false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60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auto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091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color w:val="auto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auto"/>
                      <w:sz w:val="24"/>
                      <w:szCs w:val="24"/>
                    </w:rPr>
                    <w:t>6</w:t>
                  </w:r>
                </w:p>
              </w:tc>
            </w:tr>
            <w:tr>
              <w:trPr>
                <w:trHeight w:val="1200" w:hRule="atLeast"/>
              </w:trPr>
              <w:tc>
                <w:tcPr>
                  <w:tcW w:w="527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269" w:after="0"/>
                    <w:ind w:left="0" w:right="0" w:hanging="0"/>
                    <w:jc w:val="left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2. «</w:t>
                  </w:r>
                  <w:r>
                    <w:rPr>
                      <w:rFonts w:ascii="Tinos" w:hAnsi="Tinos"/>
                      <w:b w:val="false"/>
                      <w:i w:val="false"/>
                      <w:strike w:val="false"/>
                      <w:dstrike w:val="false"/>
                      <w:color w:val="000000"/>
                      <w:spacing w:val="0"/>
                      <w:kern w:val="0"/>
                      <w:sz w:val="24"/>
                      <w:szCs w:val="24"/>
                    </w:rPr>
                    <w:t>Всего квадратных метров расселенной общей площади</w:t>
                  </w: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», кв м</w:t>
                  </w:r>
                </w:p>
              </w:tc>
              <w:tc>
                <w:tcPr>
                  <w:tcW w:w="1079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29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310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475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pacing w:val="0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26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60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z w:val="24"/>
                      <w:szCs w:val="24"/>
                    </w:rPr>
                    <w:t>76,2</w:t>
                  </w:r>
                </w:p>
              </w:tc>
              <w:tc>
                <w:tcPr>
                  <w:tcW w:w="2091" w:type="dxa"/>
                  <w:tcBorders>
                    <w:bottom w:val="single" w:sz="4" w:space="0" w:color="000000"/>
                    <w:right w:val="single" w:sz="4" w:space="0" w:color="000000"/>
                  </w:tcBorders>
                  <w:shd w:fill="auto" w:val="clear"/>
                  <w:vAlign w:val="center"/>
                </w:tcPr>
                <w:p>
                  <w:pPr>
                    <w:pStyle w:val="Normal"/>
                    <w:widowControl w:val="false"/>
                    <w:suppressAutoHyphens w:val="true"/>
                    <w:spacing w:lineRule="auto" w:line="240" w:before="0" w:after="0"/>
                    <w:ind w:left="0" w:right="0" w:hanging="0"/>
                    <w:jc w:val="center"/>
                    <w:rPr>
                      <w:rFonts w:ascii="Tinos" w:hAnsi="Tinos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nos" w:hAnsi="Tinos"/>
                      <w:color w:val="000000"/>
                      <w:sz w:val="24"/>
                      <w:szCs w:val="24"/>
                    </w:rPr>
                    <w:t>76,2</w:t>
                  </w:r>
                </w:p>
              </w:tc>
            </w:tr>
          </w:tbl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color w:val="000000"/>
                <w:spacing w:val="0"/>
                <w:kern w:val="0"/>
              </w:rPr>
            </w:pPr>
            <w:r>
              <w:rPr>
                <w:b/>
                <w:color w:val="000000"/>
                <w:spacing w:val="0"/>
                <w:kern w:val="0"/>
                <w:sz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0"/>
                <w:highlight w:val="none"/>
                <w:shd w:fill="auto" w:val="clear"/>
              </w:rPr>
            </w:pPr>
            <w:r>
              <w:rPr>
                <w:b/>
                <w:color w:val="000000"/>
                <w:spacing w:val="0"/>
                <w:kern w:val="0"/>
                <w:sz w:val="24"/>
                <w:szCs w:val="24"/>
                <w:shd w:fill="auto" w:val="clear"/>
              </w:rPr>
              <w:t xml:space="preserve">Информация об исполнении плана реализации мероприятий муниципального проекта  </w:t>
              <w:br/>
              <w:t>«Жилье»</w:t>
            </w:r>
          </w:p>
        </w:tc>
      </w:tr>
      <w:tr>
        <w:trPr>
          <w:trHeight w:val="300" w:hRule="atLeast"/>
        </w:trPr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N п/п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4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Срок реализации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2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Вид документа и характеристика мероприятия (результата), контрольной точки</w:t>
            </w:r>
          </w:p>
        </w:tc>
        <w:tc>
          <w:tcPr>
            <w:tcW w:w="26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Информация о фактическом исполнении на</w:t>
            </w:r>
            <w:r>
              <w:rPr>
                <w:rFonts w:ascii="Tinos" w:hAnsi="Tinos"/>
                <w:color w:val="FB290D"/>
                <w:spacing w:val="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nos" w:hAnsi="Tinos"/>
                <w:color w:val="auto"/>
                <w:spacing w:val="0"/>
                <w:kern w:val="0"/>
                <w:sz w:val="24"/>
                <w:szCs w:val="24"/>
              </w:rPr>
              <w:t>01.07.2026</w:t>
            </w:r>
          </w:p>
        </w:tc>
      </w:tr>
      <w:tr>
        <w:trPr>
          <w:trHeight w:val="443" w:hRule="atLeast"/>
        </w:trPr>
        <w:tc>
          <w:tcPr>
            <w:tcW w:w="7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pacing w:val="0"/>
                <w:kern w:val="0"/>
                <w:sz w:val="24"/>
                <w:szCs w:val="24"/>
              </w:rPr>
            </w:pP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</w:r>
          </w:p>
        </w:tc>
        <w:tc>
          <w:tcPr>
            <w:tcW w:w="255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pacing w:val="0"/>
                <w:kern w:val="0"/>
                <w:sz w:val="24"/>
                <w:szCs w:val="24"/>
              </w:rPr>
            </w:pP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</w:r>
          </w:p>
        </w:tc>
        <w:tc>
          <w:tcPr>
            <w:tcW w:w="2604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начало</w:t>
            </w:r>
          </w:p>
        </w:tc>
        <w:tc>
          <w:tcPr>
            <w:tcW w:w="2158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окончание</w:t>
            </w:r>
          </w:p>
        </w:tc>
        <w:tc>
          <w:tcPr>
            <w:tcW w:w="243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pacing w:val="0"/>
                <w:kern w:val="0"/>
                <w:sz w:val="24"/>
                <w:szCs w:val="24"/>
              </w:rPr>
            </w:pP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</w:r>
          </w:p>
        </w:tc>
        <w:tc>
          <w:tcPr>
            <w:tcW w:w="271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pacing w:val="0"/>
                <w:kern w:val="0"/>
                <w:sz w:val="24"/>
                <w:szCs w:val="24"/>
              </w:rPr>
            </w:pP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</w:r>
          </w:p>
        </w:tc>
        <w:tc>
          <w:tcPr>
            <w:tcW w:w="26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pacing w:val="0"/>
                <w:kern w:val="0"/>
                <w:sz w:val="24"/>
                <w:szCs w:val="24"/>
              </w:rPr>
            </w:pP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</w:r>
          </w:p>
        </w:tc>
      </w:tr>
      <w:tr>
        <w:trPr>
          <w:trHeight w:val="289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2</w:t>
            </w:r>
          </w:p>
        </w:tc>
        <w:tc>
          <w:tcPr>
            <w:tcW w:w="260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3</w:t>
            </w:r>
          </w:p>
        </w:tc>
        <w:tc>
          <w:tcPr>
            <w:tcW w:w="215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4</w:t>
            </w:r>
          </w:p>
        </w:tc>
        <w:tc>
          <w:tcPr>
            <w:tcW w:w="243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5</w:t>
            </w:r>
          </w:p>
        </w:tc>
        <w:tc>
          <w:tcPr>
            <w:tcW w:w="2718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7</w:t>
            </w:r>
          </w:p>
        </w:tc>
      </w:tr>
      <w:tr>
        <w:trPr>
          <w:trHeight w:val="417" w:hRule="atLeast"/>
        </w:trPr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1511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beforeAutospacing="1" w:after="0"/>
              <w:jc w:val="left"/>
              <w:rPr>
                <w:sz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Задача 1 «Переселение граждан из аварийных многоквартирных домов, признанных таковыми после 01.01.2017»</w:t>
            </w:r>
          </w:p>
        </w:tc>
      </w:tr>
      <w:tr>
        <w:trPr>
          <w:trHeight w:val="743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1.1.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Мероприятие 1 (результат) 1.1. "Всего количество граждан, переселенных из непригодного жилья"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Х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Х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spacing w:val="0"/>
                <w:kern w:val="0"/>
                <w:sz w:val="20"/>
                <w:szCs w:val="20"/>
              </w:rPr>
              <w:br/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spacing w:val="0"/>
                <w:kern w:val="0"/>
                <w:sz w:val="20"/>
                <w:szCs w:val="20"/>
              </w:rPr>
              <w:br/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1.1.1.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1.1.1. "Определение количества граждан, нуждающихся в переселении из жилых помещений, признанных в установленном законном порядке непригодными для проживания, и многоквартирных жилых домов, признанных аварийными и подлежащими сносу"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01.01.2026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31.01.2026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Жилищный отдел аппарата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Список граждан, нуждающихся в переселении из аварийных многоквартирных домов, признанных таковыми после 01.01.2017. План мероприятий по переселению граждан из аварийного жилищного фонда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0"/>
                <w:szCs w:val="20"/>
              </w:rPr>
              <w:t xml:space="preserve">В Министерство строительство Кузбасса направлена заявка на участие в региональной адресной программе по переселению граждан </w:t>
            </w: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из аварийных многоквартирных домов, признанных таковыми после 01.01.2017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1.1.2.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1.1.2. "Заключение соглашения об изъятии недвижимости для муниципальных нужд между собственниками жилых помещений и Комитетом по управлению муниципальной собственностью администрации Прокопьевского муниципального округа"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В течение 30 дней с даты получения администрацией Прокопьевского муниципального округа уведомления по расчетам между бюджетами по межбюджетным трансфертам от Министерства строительства Кузбасса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Дата заключения соглашения об изъятии недвижимости для муниципальных нужд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Соглашение об изъятии недвижимого имущества.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Договор социального найма жилого помещения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Соглашение об изъятии недвижимого имущества от 27.04.2026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1.1.3.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1.1.3. "Направление соглашения об изъятии недвижимости для муниципальных нужд на государственную регистрацию перехода права собственности в Управление Федеральной службы государственной регистрации, кадастра и картографии Кемеровской области - Кузбасса"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Не позднее следующего рабочего дня после даты заключения соглашения об изъятии недвижимости для муниципальных нужд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Дата получения выписки из ЕГРН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Выписка Управления Федеральной службы государственной регистрации, кадастра и картографии Кемеровской области - Кузбасса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0"/>
                <w:szCs w:val="20"/>
              </w:rPr>
              <w:t>29.04.2026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1.1.4.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1.1.4. "Финансирование средств в порядке и в сроки, согласно условий соглашения об изъятии недвижимости для муниципальных нужд"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Не позднее 30 рабочих дней с даты получения выписки Управления Федеральной службы государственной регистрации, кадастра и картографии Кемеровской области - Кузбасса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Дата платежного поручения Управления Федерального казначейства по Кемеровской области - Кузбассу, с отметкой "проведено"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Платежное поручение Управления Федерального казначейства по Кемеровской области - Кузбассу, с отметкой "проведено"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0"/>
                <w:szCs w:val="20"/>
              </w:rPr>
              <w:t>30.04.2026</w:t>
            </w:r>
          </w:p>
        </w:tc>
      </w:tr>
      <w:tr>
        <w:trPr>
          <w:trHeight w:val="233" w:hRule="atLeast"/>
        </w:trPr>
        <w:tc>
          <w:tcPr>
            <w:tcW w:w="7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sz w:val="20"/>
                <w:szCs w:val="20"/>
              </w:rPr>
              <w:t>2</w:t>
            </w:r>
          </w:p>
        </w:tc>
        <w:tc>
          <w:tcPr>
            <w:tcW w:w="15119" w:type="dxa"/>
            <w:gridSpan w:val="6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2 «Устойчивое сокращение непригодного для проживания жилищного фонда»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2.1.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Мероприятие (результат) 2: "Всего квадратных метров расселенной общей площади"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Х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Х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spacing w:val="0"/>
                <w:kern w:val="0"/>
                <w:sz w:val="20"/>
                <w:szCs w:val="20"/>
              </w:rPr>
              <w:br/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spacing w:val="0"/>
                <w:kern w:val="0"/>
                <w:sz w:val="20"/>
                <w:szCs w:val="20"/>
              </w:rPr>
              <w:br/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2.1.1.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2.1.3. "Направление уведомления о планируемом сносе объекта капитального строительства в отдел архитектуры и строительства администрации Прокопьевского муниципального округа"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Платежное поручение Управления Федерального казначейства по Кемеровской области - Кузбассу, с отметкой "проведено"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Дата подачи уведомления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Уведомление о планируемом сносе объекта капитального строительства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0"/>
                <w:szCs w:val="20"/>
              </w:rPr>
              <w:t>19.06.2026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2.1.2.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2.1.2. "Снос многоквартирного дома, признанного в установленном законом порядке аварийным и подлежащими сносу"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В течение 60 дней с даты платежного поручения Управления Федерального казначейства по Кемеровской области - Кузбассу, с отметкой "проведено"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Дата сноса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Фотофиксация. Файлы JPG в электронном виде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0"/>
                <w:szCs w:val="20"/>
              </w:rPr>
              <w:t>20.06.2026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2.1.3.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2.1.3. "Направление уведомления о завершении сноса объекта капитального строительства в отдел архитектуры и строительства администрации Прокопьевского муниципального округа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В течение 7 рабочих дней после подачи уведомления о планируемом сносе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Дата подачи уведомления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Уведомление о планируемом сносе объекта капитального строительства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0"/>
                <w:szCs w:val="20"/>
              </w:rPr>
              <w:t>25.06.2026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2.1.4.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2.1.4. "Заключение муниципального контракта на выполнение кадастровых работ (по снятию с кадастрового учета объекта недвижимости)"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В течение 15 рабочих дней после даты сноса дома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Дата заключения муниципального контракта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auto"/>
                <w:spacing w:val="0"/>
                <w:kern w:val="0"/>
                <w:sz w:val="20"/>
                <w:szCs w:val="20"/>
              </w:rPr>
              <w:t>Муниципальный контракт на выполнение кадастровых работ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0"/>
                <w:szCs w:val="20"/>
              </w:rPr>
              <w:t>18.06.2026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2.1.5.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2.1.5. "Получение акта обследования от кадастрового инженера, для снятия с кадастрового учета объекта недвижимости"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15 рабочих дней со дня подписания контракта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Акт обследования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auto"/>
                <w:spacing w:val="0"/>
                <w:kern w:val="0"/>
                <w:sz w:val="20"/>
                <w:szCs w:val="20"/>
              </w:rPr>
              <w:t>Акт обследования (для снятия с кадастрового учета объекта недвижимости)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0"/>
                <w:szCs w:val="20"/>
              </w:rPr>
              <w:t>-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2.1.6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2.1.6. "Направление акта обследования (для снятия с кадастрового учета объекта недвижимости) в Управление Федеральной службы государственной регистрации, кадастра и картографии Кемеровской области - Кузбасса"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1 рабочий день после получения акта обследования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Дата получения выписки (7 рабочих дней)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Выписка из Единого государственного реестра недвижимости, с отметкой о снятии объекта с кадастрового учета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0"/>
                <w:szCs w:val="20"/>
              </w:rPr>
              <w:t>-</w:t>
            </w:r>
          </w:p>
        </w:tc>
      </w:tr>
      <w:tr>
        <w:trPr>
          <w:trHeight w:val="1862" w:hRule="atLeast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2.1.7.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Контрольная точка 2.1.7. "Подготовка приказа о списании жилого фонда из реестра муниципальной собственности Прокопьевского муниципального округа"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1 рабочий день после получения выписки из Единого государственного реестра недвижимости, с отметкой о снятии объекта с кадастрового учета</w:t>
            </w: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Дата приказа о списании жилого фонда</w:t>
            </w:r>
          </w:p>
        </w:tc>
        <w:tc>
          <w:tcPr>
            <w:tcW w:w="2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000000"/>
                <w:spacing w:val="0"/>
                <w:kern w:val="0"/>
                <w:sz w:val="20"/>
                <w:szCs w:val="20"/>
              </w:rPr>
              <w:t>Комитет по управлению муниципальной собственностью администрации Прокопьевского муниципального округа</w:t>
            </w: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69" w:after="142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color w:val="auto"/>
                <w:spacing w:val="0"/>
                <w:kern w:val="0"/>
                <w:sz w:val="20"/>
                <w:szCs w:val="20"/>
              </w:rPr>
              <w:t>Приказ о списании жилого фонда</w:t>
            </w:r>
          </w:p>
        </w:tc>
        <w:tc>
          <w:tcPr>
            <w:tcW w:w="264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0"/>
                <w:szCs w:val="20"/>
              </w:rPr>
              <w:t>-</w:t>
            </w:r>
          </w:p>
        </w:tc>
      </w:tr>
    </w:tbl>
    <w:p>
      <w:pPr>
        <w:pStyle w:val="ConsPlusTitle1"/>
        <w:widowControl/>
        <w:spacing w:lineRule="auto" w:line="360"/>
        <w:ind w:left="0" w:right="0" w:firstLine="709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</w:p>
    <w:p>
      <w:pPr>
        <w:pStyle w:val="ConsPlusTitle1"/>
        <w:widowControl/>
        <w:spacing w:lineRule="auto" w:line="360"/>
        <w:ind w:left="0" w:right="0" w:firstLine="709"/>
        <w:jc w:val="both"/>
        <w:rPr>
          <w:rFonts w:ascii="Times New Roman" w:hAnsi="Times New Roman"/>
          <w:b w:val="false"/>
          <w:sz w:val="28"/>
        </w:rPr>
      </w:pPr>
      <w:r>
        <w:rPr>
          <w:rFonts w:ascii="Times New Roman" w:hAnsi="Times New Roman"/>
          <w:b w:val="false"/>
          <w:sz w:val="28"/>
        </w:rPr>
      </w:r>
      <w:r>
        <w:br w:type="page"/>
      </w:r>
    </w:p>
    <w:p>
      <w:pPr>
        <w:pStyle w:val="ConsPlusTitle1"/>
        <w:widowControl/>
        <w:spacing w:lineRule="auto" w:line="360" w:before="0" w:after="0"/>
        <w:ind w:left="0" w:right="0" w:firstLine="709"/>
        <w:jc w:val="center"/>
        <w:rPr>
          <w:sz w:val="28"/>
          <w:szCs w:val="28"/>
        </w:rPr>
      </w:pPr>
      <w:r>
        <w:rPr>
          <w:rFonts w:ascii="Tinos" w:hAnsi="Tinos"/>
          <w:b/>
          <w:bCs/>
          <w:color w:val="000000"/>
          <w:sz w:val="28"/>
          <w:szCs w:val="28"/>
        </w:rPr>
        <w:t xml:space="preserve">Финансовое обеспечение муниципальной программы </w:t>
        <w:br/>
        <w:t>«Жилье»</w:t>
      </w:r>
    </w:p>
    <w:tbl>
      <w:tblPr>
        <w:tblStyle w:val="Style_1"/>
        <w:tblW w:w="14848" w:type="dxa"/>
        <w:jc w:val="left"/>
        <w:tblInd w:w="93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8114"/>
        <w:gridCol w:w="2095"/>
        <w:gridCol w:w="2208"/>
        <w:gridCol w:w="2430"/>
      </w:tblGrid>
      <w:tr>
        <w:trPr>
          <w:trHeight w:val="1120" w:hRule="atLeast"/>
        </w:trPr>
        <w:tc>
          <w:tcPr>
            <w:tcW w:w="8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67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Объем финансового обеспечения, тыс. рублей</w:t>
            </w:r>
          </w:p>
        </w:tc>
      </w:tr>
      <w:tr>
        <w:trPr>
          <w:trHeight w:val="514" w:hRule="atLeast"/>
        </w:trPr>
        <w:tc>
          <w:tcPr>
            <w:tcW w:w="81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nos" w:hAnsi="Tinos"/>
                <w:spacing w:val="0"/>
                <w:kern w:val="0"/>
                <w:sz w:val="24"/>
                <w:szCs w:val="24"/>
              </w:rPr>
            </w:pPr>
            <w:r>
              <w:rPr>
                <w:rFonts w:ascii="Tinos" w:hAnsi="Tinos"/>
                <w:spacing w:val="0"/>
                <w:kern w:val="0"/>
                <w:sz w:val="24"/>
                <w:szCs w:val="24"/>
              </w:rPr>
            </w:r>
          </w:p>
        </w:tc>
        <w:tc>
          <w:tcPr>
            <w:tcW w:w="2095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2026 план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57" w:right="-113" w:hanging="0"/>
              <w:jc w:val="center"/>
              <w:rPr>
                <w:rFonts w:ascii="Tinos" w:hAnsi="Tinos" w:eastAsia="Tahoma" w:cs="Noto Sans Devanagari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Tahoma" w:cs="Noto Sans Devanagari" w:ascii="Tinos" w:hAnsi="Tinos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факт на 01.04.2026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57" w:right="-113" w:hanging="0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color w:val="000000"/>
                <w:spacing w:val="0"/>
                <w:kern w:val="0"/>
                <w:sz w:val="24"/>
                <w:szCs w:val="24"/>
              </w:rPr>
              <w:t>факт на 01.07.2026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  <w:sz w:val="20"/>
              </w:rPr>
            </w:pPr>
            <w:r>
              <w:rPr>
                <w:rFonts w:ascii="Tinos" w:hAnsi="Tinos"/>
                <w:b/>
                <w:bCs/>
                <w:color w:val="000000"/>
                <w:spacing w:val="0"/>
                <w:kern w:val="0"/>
                <w:sz w:val="24"/>
                <w:szCs w:val="24"/>
              </w:rPr>
              <w:t>40 049,63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rFonts w:ascii="Tinos" w:hAnsi="Tinos" w:eastAsia="Tahoma" w:cs="Noto Sans Devanagari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</w:pPr>
            <w:r>
              <w:rPr>
                <w:rFonts w:eastAsia="Tahoma" w:cs="Noto Sans Devanagari" w:ascii="Tinos" w:hAnsi="Tinos"/>
                <w:color w:val="000000"/>
                <w:spacing w:val="0"/>
                <w:kern w:val="0"/>
                <w:sz w:val="24"/>
                <w:szCs w:val="24"/>
                <w:lang w:val="ru-RU" w:eastAsia="zh-CN" w:bidi="hi-IN"/>
              </w:rPr>
              <w:t>2 468,31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  <w:sz w:val="20"/>
              </w:rPr>
            </w:pPr>
            <w:r>
              <w:rPr>
                <w:rFonts w:ascii="Tinos" w:hAnsi="Tinos"/>
                <w:b/>
                <w:bCs/>
                <w:color w:val="000000"/>
                <w:spacing w:val="0"/>
                <w:kern w:val="0"/>
                <w:sz w:val="24"/>
                <w:szCs w:val="24"/>
              </w:rPr>
              <w:t>34 434,81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sz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  <w:t>Средства государственной корпорации – Фонда содействия реформированию жилищно - коммунального хозяйства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2 162,63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0,00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2 162,63</w:t>
            </w:r>
          </w:p>
        </w:tc>
      </w:tr>
      <w:tr>
        <w:trPr>
          <w:trHeight w:val="630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0"/>
                <w:szCs w:val="20"/>
              </w:rPr>
              <w:t>Федеральный бюджет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7 603,01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7 603,01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0"/>
                <w:szCs w:val="20"/>
              </w:rPr>
              <w:t>Областной бюджет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26 391,59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1 784,57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20 431,63</w:t>
            </w:r>
          </w:p>
        </w:tc>
      </w:tr>
      <w:tr>
        <w:trPr>
          <w:trHeight w:val="326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0"/>
                <w:szCs w:val="20"/>
              </w:rPr>
              <w:t>Местный бюджет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3 892,4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683,74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683,74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0,00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0,00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ascii="Tinos" w:hAnsi="Tinos"/>
                <w:b w:val="false"/>
                <w:bCs w:val="false"/>
                <w:color w:val="auto"/>
                <w:spacing w:val="0"/>
                <w:kern w:val="0"/>
                <w:sz w:val="24"/>
                <w:szCs w:val="24"/>
              </w:rPr>
              <w:t>3 553,8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pacing w:val="0"/>
                <w:kern w:val="0"/>
                <w:sz w:val="20"/>
                <w:szCs w:val="20"/>
              </w:rPr>
              <w:t>Муниципальный проект «Обеспечение повышения доступности жилья»</w:t>
            </w:r>
            <w:r>
              <w:rPr>
                <w:rFonts w:ascii="PT Astra Serif" w:hAnsi="PT Astra Serif"/>
                <w:color w:val="000000"/>
                <w:spacing w:val="0"/>
                <w:kern w:val="0"/>
                <w:sz w:val="20"/>
                <w:szCs w:val="20"/>
              </w:rPr>
              <w:t xml:space="preserve"> (всего), в том числе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33 191,63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2 846,14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30 452,21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0"/>
                <w:szCs w:val="20"/>
              </w:rPr>
              <w:t>Местный бюджет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3 892,40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683,74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683,74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0"/>
              </w:rPr>
            </w:pPr>
            <w:r>
              <w:rPr>
                <w:kern w:val="0"/>
                <w:sz w:val="20"/>
                <w:szCs w:val="20"/>
              </w:rPr>
              <w:t>Федеральный бюджет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4"/>
                <w:szCs w:val="24"/>
              </w:rPr>
              <w:t>7 603,01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377,83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7 603,01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0"/>
              </w:rPr>
            </w:pPr>
            <w:r>
              <w:rPr>
                <w:kern w:val="0"/>
                <w:sz w:val="20"/>
                <w:szCs w:val="20"/>
              </w:rPr>
              <w:t>Областной бюджет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21 696,22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1 784,57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18 611,66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sz w:val="20"/>
              </w:rPr>
            </w:pPr>
            <w:r>
              <w:rPr>
                <w:rFonts w:ascii="PT Astra Serif" w:hAnsi="PT Astra Serif"/>
                <w:color w:val="000000"/>
                <w:spacing w:val="0"/>
                <w:kern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4"/>
                <w:szCs w:val="24"/>
              </w:rPr>
              <w:t>0,00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0,00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3 553,8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both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pacing w:val="0"/>
                <w:kern w:val="0"/>
                <w:sz w:val="20"/>
                <w:szCs w:val="20"/>
              </w:rPr>
              <w:t>Муниципальный проект «Жилье»</w:t>
            </w:r>
            <w:r>
              <w:rPr>
                <w:rFonts w:ascii="PT Astra Serif" w:hAnsi="PT Astra Serif"/>
                <w:b w:val="false"/>
                <w:bCs w:val="false"/>
                <w:color w:val="000000"/>
                <w:spacing w:val="0"/>
                <w:kern w:val="0"/>
                <w:sz w:val="20"/>
                <w:szCs w:val="20"/>
              </w:rPr>
              <w:t>, (всего), в том числе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6 858,00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0,00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3 982,60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0"/>
              </w:rPr>
            </w:pPr>
            <w:r>
              <w:rPr>
                <w:rFonts w:ascii="PT Astra Serif" w:hAnsi="PT Astra Serif"/>
                <w:color w:val="000000"/>
                <w:spacing w:val="0"/>
                <w:sz w:val="20"/>
              </w:rPr>
              <w:t>Средства публично-правовой компании «Фонд развития территорий»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4"/>
                <w:szCs w:val="24"/>
              </w:rPr>
              <w:t>2 162,63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0,00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4"/>
                <w:szCs w:val="24"/>
              </w:rPr>
              <w:t>2 162,63</w:t>
            </w:r>
          </w:p>
        </w:tc>
      </w:tr>
      <w:tr>
        <w:trPr>
          <w:trHeight w:val="315" w:hRule="atLeast"/>
        </w:trPr>
        <w:tc>
          <w:tcPr>
            <w:tcW w:w="8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left"/>
              <w:rPr>
                <w:sz w:val="20"/>
              </w:rPr>
            </w:pPr>
            <w:r>
              <w:rPr>
                <w:sz w:val="20"/>
              </w:rPr>
              <w:t>Областной бюджет</w:t>
            </w:r>
          </w:p>
        </w:tc>
        <w:tc>
          <w:tcPr>
            <w:tcW w:w="2095" w:type="dxa"/>
            <w:tcBorders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4"/>
                <w:szCs w:val="24"/>
              </w:rPr>
              <w:t>4 695,37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0,00</w:t>
            </w:r>
          </w:p>
        </w:tc>
        <w:tc>
          <w:tcPr>
            <w:tcW w:w="2430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Tinos" w:hAnsi="Tinos"/>
                <w:color w:val="auto"/>
                <w:spacing w:val="0"/>
                <w:kern w:val="0"/>
                <w:sz w:val="24"/>
                <w:szCs w:val="24"/>
              </w:rPr>
              <w:t>1 819,97</w:t>
            </w:r>
          </w:p>
        </w:tc>
      </w:tr>
    </w:tbl>
    <w:p>
      <w:pPr>
        <w:pStyle w:val="ConsPlusTitle1"/>
        <w:widowControl/>
        <w:spacing w:lineRule="auto" w:line="360"/>
        <w:ind w:left="0" w:right="0" w:firstLine="709"/>
        <w:jc w:val="both"/>
        <w:rPr>
          <w:rFonts w:ascii="Tinos" w:hAnsi="Tinos"/>
          <w:b w:val="false"/>
          <w:sz w:val="24"/>
          <w:szCs w:val="24"/>
        </w:rPr>
      </w:pPr>
      <w:r>
        <w:rPr>
          <w:rFonts w:ascii="Tinos" w:hAnsi="Tinos"/>
          <w:b w:val="false"/>
          <w:sz w:val="24"/>
          <w:szCs w:val="24"/>
        </w:rPr>
      </w:r>
    </w:p>
    <w:p>
      <w:pPr>
        <w:pStyle w:val="ConsPlusTitle1"/>
        <w:widowControl/>
        <w:spacing w:lineRule="auto" w:line="360"/>
        <w:ind w:left="0" w:right="0" w:firstLine="709"/>
        <w:jc w:val="both"/>
        <w:rPr>
          <w:sz w:val="28"/>
        </w:rPr>
      </w:pPr>
      <w:r>
        <w:rPr>
          <w:sz w:val="28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basedOn w:val="Normal"/>
    <w:next w:val="Normal"/>
    <w:uiPriority w:val="9"/>
    <w:qFormat/>
    <w:pPr>
      <w:keepNext w:val="true"/>
      <w:widowControl/>
      <w:numPr>
        <w:ilvl w:val="0"/>
        <w:numId w:val="1"/>
      </w:numPr>
      <w:jc w:val="center"/>
      <w:outlineLvl w:val="0"/>
    </w:pPr>
    <w:rPr>
      <w:sz w:val="32"/>
    </w:rPr>
  </w:style>
  <w:style w:type="paragraph" w:styleId="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21">
    <w:name w:val="Основной текст (2)_"/>
    <w:link w:val="211"/>
    <w:qFormat/>
    <w:rPr>
      <w:sz w:val="26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Style9">
    <w:name w:val="Заголовок"/>
    <w:link w:val="111111"/>
    <w:qFormat/>
    <w:rPr>
      <w:rFonts w:ascii="Arial" w:hAnsi="Arial"/>
      <w:b/>
      <w:sz w:val="32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WW8Num2z0">
    <w:name w:val="WW8Num2z0"/>
    <w:link w:val="WW8Num2z0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31">
    <w:name w:val="Основной текст 3"/>
    <w:link w:val="311"/>
    <w:qFormat/>
    <w:rPr>
      <w:sz w:val="26"/>
    </w:rPr>
  </w:style>
  <w:style w:type="character" w:styleId="Style10">
    <w:name w:val="Текст выноски"/>
    <w:link w:val="13"/>
    <w:qFormat/>
    <w:rPr>
      <w:rFonts w:ascii="Tahoma" w:hAnsi="Tahoma"/>
      <w:sz w:val="16"/>
    </w:rPr>
  </w:style>
  <w:style w:type="character" w:styleId="22">
    <w:name w:val="Основной текст (2)"/>
    <w:link w:val="212"/>
    <w:qFormat/>
    <w:rPr>
      <w:sz w:val="26"/>
    </w:rPr>
  </w:style>
  <w:style w:type="character" w:styleId="Style11">
    <w:name w:val="Содержимое таблицы"/>
    <w:link w:val="14"/>
    <w:qFormat/>
    <w:rPr/>
  </w:style>
  <w:style w:type="character" w:styleId="WW8Num1z0">
    <w:name w:val="WW8Num1z0"/>
    <w:link w:val="WW8Num1z01"/>
    <w:qFormat/>
    <w:rPr>
      <w:b w:val="false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Textbody">
    <w:name w:val="Text body"/>
    <w:qFormat/>
    <w:rPr/>
  </w:style>
  <w:style w:type="character" w:styleId="Style12">
    <w:name w:val="Название Знак"/>
    <w:link w:val="15"/>
    <w:qFormat/>
    <w:rPr>
      <w:rFonts w:ascii="Arial" w:hAnsi="Arial"/>
      <w:b/>
      <w:sz w:val="32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sz w:val="32"/>
    </w:rPr>
  </w:style>
  <w:style w:type="character" w:styleId="-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Style13">
    <w:name w:val="Основной шрифт абзаца"/>
    <w:link w:val="17"/>
    <w:qFormat/>
    <w:rPr/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Style14">
    <w:name w:val="Заголовок таблицы"/>
    <w:basedOn w:val="Style11"/>
    <w:link w:val="18"/>
    <w:qFormat/>
    <w:rPr>
      <w:b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tyle15">
    <w:name w:val="Обычный (веб)"/>
    <w:link w:val="19"/>
    <w:qFormat/>
    <w:rPr/>
  </w:style>
  <w:style w:type="character" w:styleId="Style16">
    <w:name w:val="Указатель"/>
    <w:link w:val="111112"/>
    <w:qFormat/>
    <w:rPr>
      <w:rFonts w:ascii="PT Astra Serif" w:hAnsi="PT Astra Serif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23">
    <w:name w:val="Основной текст с отступом 2"/>
    <w:link w:val="213"/>
    <w:qFormat/>
    <w:rPr>
      <w:b/>
      <w:sz w:val="30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  <w:color w:val="000000"/>
      <w:sz w:val="22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pPr>
      <w:widowControl/>
      <w:spacing w:lineRule="auto" w:line="276" w:before="0" w:after="140"/>
    </w:pPr>
    <w:rPr/>
  </w:style>
  <w:style w:type="paragraph" w:styleId="Style19">
    <w:name w:val="List"/>
    <w:basedOn w:val="Style18"/>
    <w:pPr/>
    <w:rPr>
      <w:rFonts w:ascii="PT Astra Serif" w:hAnsi="PT Astra Serif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>
    <w:name w:val="Заголовок1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2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">
    <w:name w:val="Заголовок11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">
    <w:name w:val="Заголовок111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2">
    <w:name w:val="Указатель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">
    <w:name w:val="Заголовок1111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1112">
    <w:name w:val="Указатель111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1111">
    <w:name w:val="Заголовок11111"/>
    <w:basedOn w:val="Normal"/>
    <w:next w:val="Style18"/>
    <w:link w:val="Style9"/>
    <w:qFormat/>
    <w:pPr>
      <w:widowControl/>
      <w:spacing w:lineRule="auto" w:line="360" w:before="120" w:after="0"/>
      <w:ind w:left="0" w:right="4670" w:hanging="0"/>
      <w:jc w:val="center"/>
    </w:pPr>
    <w:rPr>
      <w:rFonts w:ascii="Arial" w:hAnsi="Arial"/>
      <w:b/>
      <w:sz w:val="32"/>
    </w:rPr>
  </w:style>
  <w:style w:type="paragraph" w:styleId="111112">
    <w:name w:val="Указатель11111"/>
    <w:basedOn w:val="Normal"/>
    <w:link w:val="Style16"/>
    <w:qFormat/>
    <w:pPr/>
    <w:rPr>
      <w:rFonts w:ascii="PT Astra Serif" w:hAnsi="PT Astra Serif"/>
    </w:rPr>
  </w:style>
  <w:style w:type="paragraph" w:styleId="24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/>
      <w:suppressAutoHyphens w:val="true"/>
      <w:bidi w:val="0"/>
      <w:spacing w:lineRule="auto" w:line="240" w:before="0" w:after="0"/>
      <w:ind w:left="0" w:right="0" w:firstLine="72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1">
    <w:name w:val="Основной текст (2)_1"/>
    <w:link w:val="2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6"/>
      <w:szCs w:val="20"/>
      <w:highlight w:val="white"/>
      <w:lang w:val="ru-RU" w:eastAsia="zh-CN" w:bidi="hi-IN"/>
    </w:rPr>
  </w:style>
  <w:style w:type="paragraph" w:styleId="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WW8Num2z01">
    <w:name w:val="WW8Num2z01"/>
    <w:link w:val="WW8Num2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311">
    <w:name w:val="Основной текст 31"/>
    <w:basedOn w:val="Normal"/>
    <w:link w:val="31"/>
    <w:qFormat/>
    <w:pPr/>
    <w:rPr>
      <w:sz w:val="26"/>
    </w:rPr>
  </w:style>
  <w:style w:type="paragraph" w:styleId="13">
    <w:name w:val="Текст выноски1"/>
    <w:basedOn w:val="Normal"/>
    <w:link w:val="Style10"/>
    <w:qFormat/>
    <w:pPr/>
    <w:rPr>
      <w:rFonts w:ascii="Tahoma" w:hAnsi="Tahoma"/>
      <w:sz w:val="16"/>
    </w:rPr>
  </w:style>
  <w:style w:type="paragraph" w:styleId="212">
    <w:name w:val="Основной текст (2)1"/>
    <w:basedOn w:val="Normal"/>
    <w:link w:val="22"/>
    <w:qFormat/>
    <w:pPr>
      <w:widowControl w:val="false"/>
      <w:spacing w:lineRule="exact" w:line="310"/>
      <w:jc w:val="both"/>
    </w:pPr>
    <w:rPr>
      <w:sz w:val="26"/>
    </w:rPr>
  </w:style>
  <w:style w:type="paragraph" w:styleId="14">
    <w:name w:val="Содержимое таблицы1"/>
    <w:basedOn w:val="Normal"/>
    <w:link w:val="Style11"/>
    <w:qFormat/>
    <w:pPr>
      <w:widowControl w:val="false"/>
    </w:pPr>
    <w:rPr/>
  </w:style>
  <w:style w:type="paragraph" w:styleId="WW8Num1z01">
    <w:name w:val="WW8Num1z01"/>
    <w:link w:val="WW8Num1z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 w:val="false"/>
      <w:color w:val="000000"/>
      <w:spacing w:val="0"/>
      <w:kern w:val="0"/>
      <w:sz w:val="20"/>
      <w:szCs w:val="20"/>
      <w:lang w:val="ru-RU" w:eastAsia="zh-CN" w:bidi="hi-IN"/>
    </w:rPr>
  </w:style>
  <w:style w:type="paragraph" w:styleId="32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5">
    <w:name w:val="Название Знак1"/>
    <w:link w:val="Style12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left="0" w:right="0" w:firstLine="851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6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7">
    <w:name w:val="Основной шрифт абзаца1"/>
    <w:link w:val="Style13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8">
    <w:name w:val="Заголовок таблицы1"/>
    <w:basedOn w:val="14"/>
    <w:link w:val="Style14"/>
    <w:qFormat/>
    <w:pPr>
      <w:widowControl/>
      <w:jc w:val="center"/>
    </w:pPr>
    <w:rPr>
      <w:b/>
    </w:rPr>
  </w:style>
  <w:style w:type="paragraph" w:styleId="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51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9">
    <w:name w:val="Обычный (веб)1"/>
    <w:basedOn w:val="Normal"/>
    <w:link w:val="Style15"/>
    <w:qFormat/>
    <w:pPr>
      <w:widowControl/>
      <w:spacing w:before="280" w:after="280"/>
    </w:pPr>
    <w:rPr/>
  </w:style>
  <w:style w:type="paragraph" w:styleId="Style22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213">
    <w:name w:val="Основной текст с отступом 21"/>
    <w:basedOn w:val="Normal"/>
    <w:link w:val="23"/>
    <w:qFormat/>
    <w:pPr>
      <w:widowControl/>
      <w:ind w:left="0" w:right="0" w:firstLine="720"/>
      <w:jc w:val="both"/>
    </w:pPr>
    <w:rPr>
      <w:b/>
      <w:sz w:val="30"/>
    </w:rPr>
  </w:style>
  <w:style w:type="paragraph" w:styleId="Style23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left="0" w:right="0" w:hanging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25">
    <w:name w:val="Содержимое таблицы2"/>
    <w:basedOn w:val="Normal"/>
    <w:qFormat/>
    <w:pPr>
      <w:widowControl w:val="false"/>
      <w:suppressLineNumbers/>
    </w:pPr>
    <w:rPr/>
  </w:style>
  <w:style w:type="paragraph" w:styleId="26">
    <w:name w:val="Заголовок таблицы2"/>
    <w:basedOn w:val="25"/>
    <w:qFormat/>
    <w:pPr>
      <w:suppressLineNumbers/>
      <w:jc w:val="center"/>
    </w:pPr>
    <w:rPr>
      <w:b/>
      <w:bCs/>
    </w:rPr>
  </w:style>
  <w:style w:type="paragraph" w:styleId="33">
    <w:name w:val="Содержимое таблицы3"/>
    <w:basedOn w:val="Normal"/>
    <w:qFormat/>
    <w:pPr>
      <w:widowControl w:val="false"/>
      <w:suppressLineNumbers/>
    </w:pPr>
    <w:rPr/>
  </w:style>
  <w:style w:type="paragraph" w:styleId="34">
    <w:name w:val="Заголовок таблицы3"/>
    <w:basedOn w:val="33"/>
    <w:qFormat/>
    <w:pPr>
      <w:suppressLineNumbers/>
      <w:jc w:val="center"/>
    </w:pPr>
    <w:rPr>
      <w:b/>
      <w:bCs/>
    </w:rPr>
  </w:style>
  <w:style w:type="paragraph" w:styleId="1113">
    <w:name w:val="Содержимое таблицы111"/>
    <w:basedOn w:val="Normal"/>
    <w:qFormat/>
    <w:pPr>
      <w:widowControl w:val="false"/>
    </w:pPr>
    <w:rPr/>
  </w:style>
  <w:style w:type="paragraph" w:styleId="42">
    <w:name w:val="Содержимое таблицы4"/>
    <w:basedOn w:val="Normal"/>
    <w:qFormat/>
    <w:pPr>
      <w:widowControl w:val="false"/>
      <w:suppressLineNumbers/>
    </w:pPr>
    <w:rPr/>
  </w:style>
  <w:style w:type="paragraph" w:styleId="43">
    <w:name w:val="Заголовок таблицы4"/>
    <w:basedOn w:val="42"/>
    <w:qFormat/>
    <w:pPr>
      <w:suppressLineNumbers/>
      <w:jc w:val="center"/>
    </w:pPr>
    <w:rPr>
      <w:b/>
      <w:bCs/>
    </w:rPr>
  </w:style>
  <w:style w:type="table" w:default="1" w:styleId="Style_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1357</TotalTime>
  <Application>LibreOffice/7.5.6.2$Linux_X86_64 LibreOffice_project/50$Build-2</Application>
  <AppVersion>15.0000</AppVersion>
  <Pages>16</Pages>
  <Words>3198</Words>
  <Characters>23109</Characters>
  <CharactersWithSpaces>25794</CharactersWithSpaces>
  <Paragraphs>536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2026-06-02T01:10:13Z</dcterms:created>
  <dc:creator/>
  <dc:description/>
  <dc:language>ru-RU</dc:language>
  <cp:lastModifiedBy/>
  <cp:lastPrinted>2026-08-14T10:09:19Z</cp:lastPrinted>
  <dcterms:modified xsi:type="dcterms:W3CDTF">2026-08-17T08:56:51Z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